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856F" w14:textId="6322390F" w:rsidR="00457136" w:rsidRPr="00CA5497" w:rsidRDefault="002B0427" w:rsidP="002B0427">
      <w:pPr>
        <w:pStyle w:val="ReportTitle"/>
        <w:spacing w:line="276" w:lineRule="auto"/>
      </w:pPr>
      <w:r>
        <w:t>Event Infrastructure Incentive Scheme 2021</w:t>
      </w:r>
    </w:p>
    <w:p w14:paraId="1EE8E00C" w14:textId="498A6B49" w:rsidR="00D71816" w:rsidRPr="00034F6C" w:rsidRDefault="002B0427" w:rsidP="002B0427">
      <w:pPr>
        <w:pStyle w:val="ReportSubTitle"/>
        <w:spacing w:line="276" w:lineRule="auto"/>
        <w:rPr>
          <w:sz w:val="40"/>
          <w:szCs w:val="40"/>
        </w:rPr>
      </w:pPr>
      <w:r w:rsidRPr="00034F6C">
        <w:rPr>
          <w:sz w:val="40"/>
          <w:szCs w:val="40"/>
        </w:rPr>
        <w:t>Guidelines</w:t>
      </w:r>
    </w:p>
    <w:p w14:paraId="66E7F556" w14:textId="3007901B" w:rsidR="00D71816" w:rsidRPr="00CA5497" w:rsidRDefault="002B0427" w:rsidP="002B0427">
      <w:pPr>
        <w:pStyle w:val="BodyText"/>
        <w:spacing w:line="276" w:lineRule="auto"/>
        <w:rPr>
          <w:color w:val="FFFFFF" w:themeColor="background1"/>
          <w:sz w:val="20"/>
        </w:rPr>
      </w:pPr>
      <w:r>
        <w:rPr>
          <w:color w:val="FFFFFF" w:themeColor="background1"/>
          <w:sz w:val="20"/>
        </w:rPr>
        <w:t>3</w:t>
      </w:r>
      <w:r w:rsidR="004B7F75">
        <w:rPr>
          <w:color w:val="FFFFFF" w:themeColor="background1"/>
          <w:sz w:val="20"/>
        </w:rPr>
        <w:t xml:space="preserve"> </w:t>
      </w:r>
      <w:r>
        <w:rPr>
          <w:color w:val="FFFFFF" w:themeColor="background1"/>
          <w:sz w:val="20"/>
        </w:rPr>
        <w:t>/</w:t>
      </w:r>
      <w:r w:rsidR="004B7F75">
        <w:rPr>
          <w:color w:val="FFFFFF" w:themeColor="background1"/>
          <w:sz w:val="20"/>
        </w:rPr>
        <w:t xml:space="preserve"> </w:t>
      </w:r>
      <w:r>
        <w:rPr>
          <w:color w:val="FFFFFF" w:themeColor="background1"/>
          <w:sz w:val="20"/>
        </w:rPr>
        <w:t>11</w:t>
      </w:r>
      <w:r w:rsidR="004B7F75">
        <w:rPr>
          <w:color w:val="FFFFFF" w:themeColor="background1"/>
          <w:sz w:val="20"/>
        </w:rPr>
        <w:t xml:space="preserve"> </w:t>
      </w:r>
      <w:r>
        <w:rPr>
          <w:color w:val="FFFFFF" w:themeColor="background1"/>
          <w:sz w:val="20"/>
        </w:rPr>
        <w:t>/</w:t>
      </w:r>
      <w:r w:rsidR="004B7F75">
        <w:rPr>
          <w:color w:val="FFFFFF" w:themeColor="background1"/>
          <w:sz w:val="20"/>
        </w:rPr>
        <w:t xml:space="preserve"> </w:t>
      </w:r>
      <w:r>
        <w:rPr>
          <w:color w:val="FFFFFF" w:themeColor="background1"/>
          <w:sz w:val="20"/>
        </w:rPr>
        <w:t>2021</w:t>
      </w:r>
    </w:p>
    <w:p w14:paraId="21BF0085" w14:textId="77777777" w:rsidR="00D71816" w:rsidRDefault="00D71816" w:rsidP="002B0427">
      <w:pPr>
        <w:pStyle w:val="BodyText"/>
        <w:spacing w:line="276" w:lineRule="auto"/>
        <w:sectPr w:rsidR="00D71816" w:rsidSect="00BE3BBE">
          <w:headerReference w:type="even" r:id="rId11"/>
          <w:headerReference w:type="default" r:id="rId12"/>
          <w:footerReference w:type="even" r:id="rId13"/>
          <w:headerReference w:type="first" r:id="rId14"/>
          <w:pgSz w:w="11906" w:h="16838" w:code="9"/>
          <w:pgMar w:top="1418" w:right="1418" w:bottom="1418" w:left="1418" w:header="709" w:footer="709" w:gutter="0"/>
          <w:cols w:space="708"/>
          <w:titlePg/>
          <w:docGrid w:linePitch="360"/>
        </w:sectPr>
      </w:pPr>
    </w:p>
    <w:p w14:paraId="527B35C3" w14:textId="56052535" w:rsidR="002B0427" w:rsidRDefault="002B0427" w:rsidP="002B0427">
      <w:pPr>
        <w:pStyle w:val="Heading"/>
        <w:spacing w:line="276" w:lineRule="auto"/>
        <w:rPr>
          <w:rStyle w:val="SubtleEmphasis"/>
          <w:i w:val="0"/>
          <w:iCs w:val="0"/>
          <w:color w:val="DC0094"/>
        </w:rPr>
      </w:pPr>
      <w:r w:rsidRPr="002B0427">
        <w:rPr>
          <w:rStyle w:val="SubtleEmphasis"/>
          <w:i w:val="0"/>
          <w:iCs w:val="0"/>
          <w:color w:val="DC0094"/>
        </w:rPr>
        <w:lastRenderedPageBreak/>
        <w:t>Why the City of Adelaide has developed the Event Infrastructure Incentive Scheme</w:t>
      </w:r>
    </w:p>
    <w:p w14:paraId="6AE920AA" w14:textId="77777777" w:rsidR="002B0427" w:rsidRPr="002B0427" w:rsidRDefault="002B0427" w:rsidP="002B0427">
      <w:pPr>
        <w:pStyle w:val="BodyText"/>
        <w:spacing w:line="276" w:lineRule="auto"/>
      </w:pPr>
      <w:r w:rsidRPr="002B0427">
        <w:t xml:space="preserve">The City of Adelaide Strategic Plan 2020-2024 commits to a Dynamic City Culture through supporting the development of new cultural and civic infrastructure for the city, supporting community diversity, cultural expression, </w:t>
      </w:r>
      <w:proofErr w:type="gramStart"/>
      <w:r w:rsidRPr="002B0427">
        <w:t>experiences</w:t>
      </w:r>
      <w:proofErr w:type="gramEnd"/>
      <w:r w:rsidRPr="002B0427">
        <w:t xml:space="preserve"> and participation and by expanding Adelaide’s global reputation as a ‘magnet city’ through world class events, festivals and activation.</w:t>
      </w:r>
    </w:p>
    <w:p w14:paraId="0C96F998" w14:textId="77777777" w:rsidR="002B0427" w:rsidRPr="002B0427" w:rsidRDefault="002B0427" w:rsidP="002B0427">
      <w:pPr>
        <w:pStyle w:val="BodyText"/>
        <w:spacing w:line="276" w:lineRule="auto"/>
      </w:pPr>
      <w:r w:rsidRPr="002B0427">
        <w:t xml:space="preserve">Since March 2020, many city businesses have been impacted </w:t>
      </w:r>
      <w:proofErr w:type="gramStart"/>
      <w:r w:rsidRPr="002B0427">
        <w:t>as a result of</w:t>
      </w:r>
      <w:proofErr w:type="gramEnd"/>
      <w:r w:rsidRPr="002B0427">
        <w:t xml:space="preserve"> the challenges presented by COVID-19 through physical distancing restrictions, lower city visitation as a result of no international tourism, and the postponement or cancellation of events and festivals. </w:t>
      </w:r>
    </w:p>
    <w:p w14:paraId="16F1FBFC" w14:textId="77777777" w:rsidR="002B0427" w:rsidRPr="002B0427" w:rsidRDefault="002B0427" w:rsidP="002B0427">
      <w:pPr>
        <w:pStyle w:val="BodyText"/>
        <w:spacing w:line="276" w:lineRule="auto"/>
      </w:pPr>
      <w:r w:rsidRPr="002B0427">
        <w:t>Council is committed to assist small businesses within the City of Adelaide through grants to reduce their operating costs and to increase city vibrancy and support the city economy through additional events and festivals being held within the city.</w:t>
      </w:r>
    </w:p>
    <w:p w14:paraId="5C5CBC20" w14:textId="6E06A736" w:rsidR="002B0427" w:rsidRPr="002B0427" w:rsidRDefault="002B0427" w:rsidP="002B0427">
      <w:pPr>
        <w:pStyle w:val="BodyText"/>
        <w:spacing w:line="276" w:lineRule="auto"/>
      </w:pPr>
      <w:r w:rsidRPr="002B0427">
        <w:t>Council has created this Event Infrastructure Incentives Scheme</w:t>
      </w:r>
      <w:r w:rsidR="00034F6C">
        <w:t xml:space="preserve"> (EIIS)</w:t>
      </w:r>
      <w:r w:rsidR="004B7F75">
        <w:t xml:space="preserve"> with support from the State Government of South Australia</w:t>
      </w:r>
      <w:r w:rsidRPr="002B0427">
        <w:t xml:space="preserve"> for event organisers to access funding for infrastructure costs for events held from </w:t>
      </w:r>
      <w:r>
        <w:t>1 January – 30 June 2022.</w:t>
      </w:r>
      <w:r w:rsidRPr="002B0427">
        <w:t xml:space="preserve"> </w:t>
      </w:r>
    </w:p>
    <w:p w14:paraId="6945B58F" w14:textId="416EC703" w:rsidR="002B0427" w:rsidRDefault="002B0427" w:rsidP="002B0427">
      <w:pPr>
        <w:pStyle w:val="BodyText"/>
        <w:spacing w:line="276" w:lineRule="auto"/>
      </w:pPr>
      <w:r w:rsidRPr="002B0427">
        <w:t>Council</w:t>
      </w:r>
      <w:r>
        <w:t>’</w:t>
      </w:r>
      <w:r w:rsidRPr="002B0427">
        <w:t>s intention is to support the funding of up to 50% of infrastructure costs for successful applicants.</w:t>
      </w:r>
    </w:p>
    <w:p w14:paraId="6C1D58C6" w14:textId="123C3467" w:rsidR="002B0427" w:rsidRPr="002B0427" w:rsidRDefault="002B0427" w:rsidP="002B0427">
      <w:pPr>
        <w:pStyle w:val="Heading"/>
        <w:spacing w:line="276" w:lineRule="auto"/>
        <w:rPr>
          <w:rStyle w:val="SubtleEmphasis"/>
          <w:i w:val="0"/>
          <w:iCs w:val="0"/>
          <w:color w:val="DC0094"/>
        </w:rPr>
      </w:pPr>
      <w:r w:rsidRPr="002B0427">
        <w:rPr>
          <w:rStyle w:val="SubtleEmphasis"/>
          <w:i w:val="0"/>
          <w:iCs w:val="0"/>
          <w:color w:val="DC0094"/>
        </w:rPr>
        <w:t xml:space="preserve">Event Infrastructure Incentive Scheme </w:t>
      </w:r>
    </w:p>
    <w:p w14:paraId="3FF7164A" w14:textId="5DB45B17" w:rsidR="002B0427" w:rsidRPr="002B0427" w:rsidRDefault="002B0427" w:rsidP="002B0427">
      <w:pPr>
        <w:pStyle w:val="BodyText"/>
        <w:spacing w:line="276" w:lineRule="auto"/>
        <w:rPr>
          <w:rStyle w:val="SubtleEmphasis"/>
          <w:i w:val="0"/>
          <w:iCs w:val="0"/>
          <w:color w:val="auto"/>
        </w:rPr>
      </w:pPr>
      <w:r w:rsidRPr="002B0427">
        <w:rPr>
          <w:rStyle w:val="SubtleEmphasis"/>
          <w:i w:val="0"/>
          <w:iCs w:val="0"/>
          <w:color w:val="auto"/>
        </w:rPr>
        <w:t>Event Infrastructure Incentive Scheme is a</w:t>
      </w:r>
      <w:r w:rsidR="004B7F75">
        <w:rPr>
          <w:rStyle w:val="SubtleEmphasis"/>
          <w:i w:val="0"/>
          <w:iCs w:val="0"/>
          <w:color w:val="auto"/>
        </w:rPr>
        <w:t xml:space="preserve">n </w:t>
      </w:r>
      <w:r w:rsidRPr="002B0427">
        <w:rPr>
          <w:rStyle w:val="SubtleEmphasis"/>
          <w:i w:val="0"/>
          <w:iCs w:val="0"/>
          <w:color w:val="auto"/>
        </w:rPr>
        <w:t>initiative which offers a matched contribution of up to $10,000 for event organisers planning on holding events in the City or North Adelaide in 202</w:t>
      </w:r>
      <w:r w:rsidR="00034F6C">
        <w:rPr>
          <w:rStyle w:val="SubtleEmphasis"/>
          <w:i w:val="0"/>
          <w:iCs w:val="0"/>
          <w:color w:val="auto"/>
        </w:rPr>
        <w:t>2</w:t>
      </w:r>
      <w:r w:rsidRPr="002B0427">
        <w:rPr>
          <w:rStyle w:val="SubtleEmphasis"/>
          <w:i w:val="0"/>
          <w:iCs w:val="0"/>
          <w:color w:val="auto"/>
        </w:rPr>
        <w:t>. Eligible events are those with a planned attendance of over 500 people.</w:t>
      </w:r>
    </w:p>
    <w:p w14:paraId="0A5C784B" w14:textId="683C2D26" w:rsidR="002B0427" w:rsidRPr="002B0427" w:rsidRDefault="002B0427" w:rsidP="002B0427">
      <w:pPr>
        <w:pStyle w:val="BodyText"/>
        <w:spacing w:line="276" w:lineRule="auto"/>
        <w:rPr>
          <w:color w:val="auto"/>
        </w:rPr>
      </w:pPr>
      <w:bookmarkStart w:id="0" w:name="_Hlk86912228"/>
      <w:r w:rsidRPr="002B0427">
        <w:rPr>
          <w:rStyle w:val="SubtleEmphasis"/>
          <w:i w:val="0"/>
          <w:iCs w:val="0"/>
          <w:color w:val="auto"/>
        </w:rPr>
        <w:t>Event organisers can apply for funding to hire, purchase, store and maintain quality event infrastructure</w:t>
      </w:r>
      <w:bookmarkEnd w:id="0"/>
      <w:r w:rsidRPr="002B0427">
        <w:rPr>
          <w:rStyle w:val="SubtleEmphasis"/>
          <w:i w:val="0"/>
          <w:iCs w:val="0"/>
          <w:color w:val="auto"/>
        </w:rPr>
        <w:t xml:space="preserve">, either temporary or permanent, for the specific use of supporting events in the City and North Adelaide. </w:t>
      </w:r>
    </w:p>
    <w:p w14:paraId="2D0E6342" w14:textId="77777777" w:rsidR="002B0427" w:rsidRPr="002B0427" w:rsidRDefault="002B0427" w:rsidP="002B0427">
      <w:pPr>
        <w:pStyle w:val="Heading"/>
        <w:spacing w:line="276" w:lineRule="auto"/>
        <w:rPr>
          <w:rStyle w:val="SubtleEmphasis"/>
          <w:i w:val="0"/>
          <w:iCs w:val="0"/>
          <w:color w:val="DC0094"/>
        </w:rPr>
      </w:pPr>
      <w:r w:rsidRPr="002B0427">
        <w:rPr>
          <w:rStyle w:val="SubtleEmphasis"/>
          <w:i w:val="0"/>
          <w:iCs w:val="0"/>
          <w:color w:val="DC0094"/>
        </w:rPr>
        <w:t xml:space="preserve">Who can apply? </w:t>
      </w:r>
    </w:p>
    <w:p w14:paraId="1C0293DA" w14:textId="637D2055" w:rsidR="002B0427" w:rsidRPr="002B0427" w:rsidRDefault="002B0427" w:rsidP="002B0427">
      <w:pPr>
        <w:pStyle w:val="BodyText"/>
        <w:spacing w:line="276" w:lineRule="auto"/>
        <w:rPr>
          <w:rStyle w:val="SubtleEmphasis"/>
          <w:i w:val="0"/>
          <w:iCs w:val="0"/>
          <w:color w:val="auto"/>
        </w:rPr>
      </w:pPr>
      <w:r w:rsidRPr="002B0427">
        <w:rPr>
          <w:rStyle w:val="SubtleEmphasis"/>
          <w:i w:val="0"/>
          <w:iCs w:val="0"/>
          <w:color w:val="auto"/>
        </w:rPr>
        <w:t xml:space="preserve">Applications will be considered from event organisers who have a planned public event in the City and North Adelaide Park Lands or spaces in </w:t>
      </w:r>
      <w:r w:rsidR="00F62FFB">
        <w:rPr>
          <w:rStyle w:val="SubtleEmphasis"/>
          <w:i w:val="0"/>
          <w:iCs w:val="0"/>
          <w:color w:val="auto"/>
        </w:rPr>
        <w:t xml:space="preserve">January to June </w:t>
      </w:r>
      <w:r w:rsidRPr="002B0427">
        <w:rPr>
          <w:rStyle w:val="SubtleEmphasis"/>
          <w:i w:val="0"/>
          <w:iCs w:val="0"/>
          <w:color w:val="auto"/>
        </w:rPr>
        <w:t>202</w:t>
      </w:r>
      <w:r>
        <w:rPr>
          <w:rStyle w:val="SubtleEmphasis"/>
          <w:i w:val="0"/>
          <w:iCs w:val="0"/>
          <w:color w:val="auto"/>
        </w:rPr>
        <w:t>2</w:t>
      </w:r>
      <w:r w:rsidRPr="002B0427">
        <w:rPr>
          <w:rStyle w:val="SubtleEmphasis"/>
          <w:i w:val="0"/>
          <w:iCs w:val="0"/>
          <w:color w:val="auto"/>
        </w:rPr>
        <w:t xml:space="preserve">. The event must be booked in with City of Adelaide and the event organiser must demonstrate capacity to deliver. </w:t>
      </w:r>
    </w:p>
    <w:p w14:paraId="29EEC081" w14:textId="77777777" w:rsidR="002B0427" w:rsidRPr="002B0427" w:rsidRDefault="002B0427" w:rsidP="002B0427">
      <w:pPr>
        <w:pStyle w:val="Heading"/>
        <w:spacing w:line="276" w:lineRule="auto"/>
        <w:rPr>
          <w:rStyle w:val="SubtleEmphasis"/>
          <w:i w:val="0"/>
          <w:iCs w:val="0"/>
          <w:color w:val="DC0094"/>
        </w:rPr>
      </w:pPr>
      <w:r w:rsidRPr="002B0427">
        <w:rPr>
          <w:rStyle w:val="SubtleEmphasis"/>
          <w:i w:val="0"/>
          <w:iCs w:val="0"/>
          <w:color w:val="DC0094"/>
        </w:rPr>
        <w:t>Matched contribution</w:t>
      </w:r>
    </w:p>
    <w:p w14:paraId="475BD214" w14:textId="77777777" w:rsidR="002B0427" w:rsidRPr="002B0427" w:rsidRDefault="002B0427" w:rsidP="002B0427">
      <w:pPr>
        <w:pStyle w:val="BodyText"/>
        <w:spacing w:line="276" w:lineRule="auto"/>
        <w:rPr>
          <w:rStyle w:val="SubtleEmphasis"/>
          <w:i w:val="0"/>
          <w:iCs w:val="0"/>
          <w:color w:val="auto"/>
        </w:rPr>
      </w:pPr>
      <w:r w:rsidRPr="002B0427">
        <w:rPr>
          <w:rStyle w:val="SubtleEmphasis"/>
          <w:i w:val="0"/>
          <w:iCs w:val="0"/>
          <w:color w:val="auto"/>
        </w:rPr>
        <w:t xml:space="preserve">Applicants are required to demonstrate matched contribution (financial and/or in-kind) of the requested amount. This can be indicated in the budget section of the application form. Examples of matched contributions include funds or in-kind services for purchase, </w:t>
      </w:r>
      <w:proofErr w:type="gramStart"/>
      <w:r w:rsidRPr="002B0427">
        <w:rPr>
          <w:rStyle w:val="SubtleEmphasis"/>
          <w:i w:val="0"/>
          <w:iCs w:val="0"/>
          <w:color w:val="auto"/>
        </w:rPr>
        <w:t>storage</w:t>
      </w:r>
      <w:proofErr w:type="gramEnd"/>
      <w:r w:rsidRPr="002B0427">
        <w:rPr>
          <w:rStyle w:val="SubtleEmphasis"/>
          <w:i w:val="0"/>
          <w:iCs w:val="0"/>
          <w:color w:val="auto"/>
        </w:rPr>
        <w:t xml:space="preserve"> and maintenance of equipment. Funding of up to $10,000 will be offered. Event organisers will be required to provide quotes for the items they are seeking funding for and provide proof of purchase or hire agreement to acquit the grant.</w:t>
      </w:r>
    </w:p>
    <w:p w14:paraId="28973277" w14:textId="77777777" w:rsidR="002B0427" w:rsidRPr="002B0427" w:rsidRDefault="002B0427" w:rsidP="002B0427">
      <w:pPr>
        <w:pStyle w:val="Heading"/>
        <w:spacing w:line="276" w:lineRule="auto"/>
        <w:rPr>
          <w:rStyle w:val="SubtleEmphasis"/>
          <w:i w:val="0"/>
          <w:iCs w:val="0"/>
          <w:color w:val="DC0094"/>
        </w:rPr>
      </w:pPr>
      <w:r w:rsidRPr="002B0427">
        <w:rPr>
          <w:rStyle w:val="SubtleEmphasis"/>
          <w:i w:val="0"/>
          <w:iCs w:val="0"/>
          <w:color w:val="DC0094"/>
        </w:rPr>
        <w:lastRenderedPageBreak/>
        <w:t>Part funding</w:t>
      </w:r>
    </w:p>
    <w:p w14:paraId="4B77D9F8" w14:textId="77777777" w:rsidR="002B0427" w:rsidRPr="002B0427" w:rsidRDefault="002B0427" w:rsidP="002B0427">
      <w:pPr>
        <w:pStyle w:val="BodyText"/>
        <w:rPr>
          <w:rStyle w:val="SubtleEmphasis"/>
          <w:i w:val="0"/>
          <w:iCs w:val="0"/>
          <w:color w:val="auto"/>
        </w:rPr>
      </w:pPr>
      <w:r w:rsidRPr="002B0427">
        <w:rPr>
          <w:rStyle w:val="SubtleEmphasis"/>
          <w:i w:val="0"/>
          <w:iCs w:val="0"/>
          <w:color w:val="auto"/>
        </w:rPr>
        <w:t xml:space="preserve">Council funding is limited therefore part-funding may be offered. Applicants are required to indicate whether they would accept part-funded applications. </w:t>
      </w:r>
    </w:p>
    <w:p w14:paraId="4FF1D7A9" w14:textId="77777777" w:rsidR="002B0427" w:rsidRPr="002B0427" w:rsidRDefault="002B0427" w:rsidP="002B0427">
      <w:pPr>
        <w:pStyle w:val="Heading"/>
        <w:spacing w:line="276" w:lineRule="auto"/>
        <w:rPr>
          <w:rStyle w:val="SubtleEmphasis"/>
          <w:i w:val="0"/>
          <w:iCs w:val="0"/>
          <w:color w:val="DC0094"/>
        </w:rPr>
      </w:pPr>
      <w:r w:rsidRPr="002B0427">
        <w:rPr>
          <w:rStyle w:val="SubtleEmphasis"/>
          <w:i w:val="0"/>
          <w:iCs w:val="0"/>
          <w:color w:val="DC0094"/>
        </w:rPr>
        <w:t>Important Dates</w:t>
      </w:r>
    </w:p>
    <w:p w14:paraId="0BEB3CB3" w14:textId="0569266F" w:rsidR="002B0427" w:rsidRPr="002B0427" w:rsidRDefault="002B0427" w:rsidP="002B0427">
      <w:pPr>
        <w:pStyle w:val="BodyText"/>
        <w:rPr>
          <w:rStyle w:val="SubtleEmphasis"/>
          <w:i w:val="0"/>
          <w:iCs w:val="0"/>
          <w:color w:val="auto"/>
        </w:rPr>
      </w:pPr>
      <w:r w:rsidRPr="00F33001">
        <w:rPr>
          <w:rStyle w:val="SubtleEmphasis"/>
          <w:i w:val="0"/>
          <w:iCs w:val="0"/>
          <w:color w:val="auto"/>
        </w:rPr>
        <w:t xml:space="preserve">The Event Infrastructure Incentive Scheme opens on </w:t>
      </w:r>
      <w:r w:rsidR="00536BA0" w:rsidRPr="00F33001">
        <w:rPr>
          <w:rStyle w:val="SubtleEmphasis"/>
          <w:i w:val="0"/>
          <w:iCs w:val="0"/>
          <w:color w:val="auto"/>
        </w:rPr>
        <w:t>Monday 15 November</w:t>
      </w:r>
      <w:r w:rsidRPr="00F33001">
        <w:rPr>
          <w:rStyle w:val="SubtleEmphasis"/>
          <w:i w:val="0"/>
          <w:iCs w:val="0"/>
          <w:color w:val="auto"/>
        </w:rPr>
        <w:t xml:space="preserve"> 2021 and closes </w:t>
      </w:r>
      <w:r w:rsidR="00536BA0" w:rsidRPr="00F33001">
        <w:rPr>
          <w:rStyle w:val="SubtleEmphasis"/>
          <w:i w:val="0"/>
          <w:iCs w:val="0"/>
          <w:color w:val="auto"/>
        </w:rPr>
        <w:t xml:space="preserve">at </w:t>
      </w:r>
      <w:r w:rsidR="00070464">
        <w:rPr>
          <w:rStyle w:val="SubtleEmphasis"/>
          <w:i w:val="0"/>
          <w:iCs w:val="0"/>
          <w:color w:val="auto"/>
        </w:rPr>
        <w:t>4</w:t>
      </w:r>
      <w:r w:rsidR="00536BA0" w:rsidRPr="00F33001">
        <w:rPr>
          <w:rStyle w:val="SubtleEmphasis"/>
          <w:i w:val="0"/>
          <w:iCs w:val="0"/>
          <w:color w:val="auto"/>
        </w:rPr>
        <w:t xml:space="preserve">pm on </w:t>
      </w:r>
      <w:r w:rsidR="00F33001" w:rsidRPr="00F33001">
        <w:rPr>
          <w:rStyle w:val="SubtleEmphasis"/>
          <w:i w:val="0"/>
          <w:iCs w:val="0"/>
          <w:color w:val="auto"/>
        </w:rPr>
        <w:t xml:space="preserve">Monday </w:t>
      </w:r>
      <w:r w:rsidR="00070464">
        <w:rPr>
          <w:rStyle w:val="SubtleEmphasis"/>
          <w:i w:val="0"/>
          <w:iCs w:val="0"/>
          <w:color w:val="auto"/>
        </w:rPr>
        <w:t>6 December</w:t>
      </w:r>
      <w:r w:rsidRPr="00F33001">
        <w:rPr>
          <w:rStyle w:val="SubtleEmphasis"/>
          <w:i w:val="0"/>
          <w:iCs w:val="0"/>
          <w:color w:val="auto"/>
        </w:rPr>
        <w:t xml:space="preserve"> 2021.</w:t>
      </w:r>
      <w:r w:rsidR="00F33001">
        <w:rPr>
          <w:rStyle w:val="SubtleEmphasis"/>
          <w:i w:val="0"/>
          <w:iCs w:val="0"/>
          <w:color w:val="auto"/>
        </w:rPr>
        <w:t xml:space="preserve"> </w:t>
      </w:r>
      <w:r w:rsidRPr="00F33001">
        <w:rPr>
          <w:rStyle w:val="SubtleEmphasis"/>
          <w:i w:val="0"/>
          <w:iCs w:val="0"/>
          <w:color w:val="auto"/>
        </w:rPr>
        <w:t xml:space="preserve">Successful applicants will be notified </w:t>
      </w:r>
      <w:r w:rsidR="00F33001" w:rsidRPr="00F33001">
        <w:rPr>
          <w:rStyle w:val="SubtleEmphasis"/>
          <w:i w:val="0"/>
          <w:iCs w:val="0"/>
          <w:color w:val="auto"/>
        </w:rPr>
        <w:t>from the</w:t>
      </w:r>
      <w:r w:rsidRPr="00F33001">
        <w:rPr>
          <w:rStyle w:val="SubtleEmphasis"/>
          <w:i w:val="0"/>
          <w:iCs w:val="0"/>
          <w:color w:val="auto"/>
        </w:rPr>
        <w:t xml:space="preserve"> </w:t>
      </w:r>
      <w:r w:rsidR="00070464">
        <w:rPr>
          <w:rStyle w:val="SubtleEmphasis"/>
          <w:i w:val="0"/>
          <w:iCs w:val="0"/>
          <w:color w:val="auto"/>
        </w:rPr>
        <w:t>15</w:t>
      </w:r>
      <w:r w:rsidR="00F33001" w:rsidRPr="00F33001">
        <w:rPr>
          <w:rStyle w:val="SubtleEmphasis"/>
          <w:i w:val="0"/>
          <w:iCs w:val="0"/>
          <w:color w:val="auto"/>
        </w:rPr>
        <w:t xml:space="preserve"> December 2021 </w:t>
      </w:r>
      <w:r w:rsidRPr="00F33001">
        <w:rPr>
          <w:rStyle w:val="SubtleEmphasis"/>
          <w:i w:val="0"/>
          <w:iCs w:val="0"/>
          <w:color w:val="auto"/>
        </w:rPr>
        <w:t xml:space="preserve">and payment made within </w:t>
      </w:r>
      <w:r w:rsidR="00F33001" w:rsidRPr="00F33001">
        <w:rPr>
          <w:rStyle w:val="SubtleEmphasis"/>
          <w:i w:val="0"/>
          <w:iCs w:val="0"/>
          <w:color w:val="auto"/>
        </w:rPr>
        <w:t>14</w:t>
      </w:r>
      <w:r w:rsidRPr="00F33001">
        <w:rPr>
          <w:rStyle w:val="SubtleEmphasis"/>
          <w:i w:val="0"/>
          <w:iCs w:val="0"/>
          <w:color w:val="auto"/>
        </w:rPr>
        <w:t xml:space="preserve"> days of a signed funding agreement.</w:t>
      </w:r>
      <w:r w:rsidRPr="002B0427">
        <w:rPr>
          <w:rStyle w:val="SubtleEmphasis"/>
          <w:i w:val="0"/>
          <w:iCs w:val="0"/>
          <w:color w:val="auto"/>
        </w:rPr>
        <w:t xml:space="preserve"> </w:t>
      </w:r>
    </w:p>
    <w:p w14:paraId="5A844B62" w14:textId="1C5D86DB" w:rsidR="002B0427" w:rsidRPr="002B0427" w:rsidRDefault="004B7F75" w:rsidP="002B0427">
      <w:pPr>
        <w:pStyle w:val="Heading"/>
        <w:spacing w:line="276" w:lineRule="auto"/>
        <w:rPr>
          <w:rStyle w:val="SubtleEmphasis"/>
          <w:i w:val="0"/>
          <w:iCs w:val="0"/>
          <w:color w:val="DC0094"/>
        </w:rPr>
      </w:pPr>
      <w:r>
        <w:rPr>
          <w:rStyle w:val="SubtleEmphasis"/>
          <w:i w:val="0"/>
          <w:iCs w:val="0"/>
          <w:color w:val="DC0094"/>
        </w:rPr>
        <w:t>eligibility</w:t>
      </w:r>
    </w:p>
    <w:p w14:paraId="204CDCD3" w14:textId="77777777" w:rsidR="002B0427" w:rsidRPr="002B0427" w:rsidRDefault="002B0427" w:rsidP="002B0427">
      <w:pPr>
        <w:pStyle w:val="BodyText"/>
        <w:rPr>
          <w:rStyle w:val="SubtleEmphasis"/>
          <w:i w:val="0"/>
          <w:iCs w:val="0"/>
          <w:color w:val="auto"/>
        </w:rPr>
      </w:pPr>
      <w:r w:rsidRPr="002B0427">
        <w:rPr>
          <w:rStyle w:val="SubtleEmphasis"/>
          <w:i w:val="0"/>
          <w:iCs w:val="0"/>
          <w:color w:val="auto"/>
        </w:rPr>
        <w:t xml:space="preserve">Applications will be </w:t>
      </w:r>
      <w:r w:rsidRPr="00034F6C">
        <w:rPr>
          <w:rStyle w:val="SubtleEmphasis"/>
          <w:b/>
          <w:bCs/>
          <w:i w:val="0"/>
          <w:iCs w:val="0"/>
          <w:color w:val="auto"/>
        </w:rPr>
        <w:t>ineligible</w:t>
      </w:r>
      <w:r w:rsidRPr="002B0427">
        <w:rPr>
          <w:rStyle w:val="SubtleEmphasis"/>
          <w:i w:val="0"/>
          <w:iCs w:val="0"/>
          <w:color w:val="auto"/>
        </w:rPr>
        <w:t xml:space="preserve"> if any of the following apply:</w:t>
      </w:r>
    </w:p>
    <w:p w14:paraId="3FC0458C" w14:textId="48163A14"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 xml:space="preserve">The applicant undertakes canvassing or lobbying of Councillors or employees of the City of Adelaide in relation to their application during the application and assessment </w:t>
      </w:r>
      <w:proofErr w:type="gramStart"/>
      <w:r w:rsidRPr="002B0427">
        <w:rPr>
          <w:rStyle w:val="SubtleEmphasis"/>
          <w:i w:val="0"/>
          <w:iCs w:val="0"/>
          <w:color w:val="auto"/>
        </w:rPr>
        <w:t>process;</w:t>
      </w:r>
      <w:proofErr w:type="gramEnd"/>
    </w:p>
    <w:p w14:paraId="4E38DCDB" w14:textId="7DBC5432"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The application is for events occurring outside the City of Adelaide area (</w:t>
      </w:r>
      <w:proofErr w:type="gramStart"/>
      <w:r w:rsidRPr="002B0427">
        <w:rPr>
          <w:rStyle w:val="SubtleEmphasis"/>
          <w:i w:val="0"/>
          <w:iCs w:val="0"/>
          <w:color w:val="auto"/>
        </w:rPr>
        <w:t>i.e.</w:t>
      </w:r>
      <w:proofErr w:type="gramEnd"/>
      <w:r w:rsidRPr="002B0427">
        <w:rPr>
          <w:rStyle w:val="SubtleEmphasis"/>
          <w:i w:val="0"/>
          <w:iCs w:val="0"/>
          <w:color w:val="auto"/>
        </w:rPr>
        <w:t xml:space="preserve"> projects must occur within the City and North Adelaide boundary).</w:t>
      </w:r>
    </w:p>
    <w:p w14:paraId="767DA4F5" w14:textId="2A9CA28F"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 xml:space="preserve">Applications contravene an existing City of Adelaide Policy or Operating </w:t>
      </w:r>
      <w:proofErr w:type="gramStart"/>
      <w:r w:rsidRPr="002B0427">
        <w:rPr>
          <w:rStyle w:val="SubtleEmphasis"/>
          <w:i w:val="0"/>
          <w:iCs w:val="0"/>
          <w:color w:val="auto"/>
        </w:rPr>
        <w:t>Guideline;</w:t>
      </w:r>
      <w:proofErr w:type="gramEnd"/>
    </w:p>
    <w:p w14:paraId="4D2E3E51" w14:textId="2A8CED6E"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 xml:space="preserve">The application denigrates or excludes any groups in the </w:t>
      </w:r>
      <w:proofErr w:type="gramStart"/>
      <w:r w:rsidRPr="002B0427">
        <w:rPr>
          <w:rStyle w:val="SubtleEmphasis"/>
          <w:i w:val="0"/>
          <w:iCs w:val="0"/>
          <w:color w:val="auto"/>
        </w:rPr>
        <w:t>community;</w:t>
      </w:r>
      <w:proofErr w:type="gramEnd"/>
    </w:p>
    <w:p w14:paraId="02199840" w14:textId="4E42BF32"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 xml:space="preserve">The application has safety and/or environmental </w:t>
      </w:r>
      <w:proofErr w:type="gramStart"/>
      <w:r w:rsidRPr="002B0427">
        <w:rPr>
          <w:rStyle w:val="SubtleEmphasis"/>
          <w:i w:val="0"/>
          <w:iCs w:val="0"/>
          <w:color w:val="auto"/>
        </w:rPr>
        <w:t>hazards;</w:t>
      </w:r>
      <w:proofErr w:type="gramEnd"/>
    </w:p>
    <w:p w14:paraId="2AF2752A" w14:textId="774F2D09"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 xml:space="preserve">The applicant has not acquitted on any previous City of Adelaide funded events or finalised outstanding debts from previously completed </w:t>
      </w:r>
      <w:proofErr w:type="gramStart"/>
      <w:r w:rsidRPr="002B0427">
        <w:rPr>
          <w:rStyle w:val="SubtleEmphasis"/>
          <w:i w:val="0"/>
          <w:iCs w:val="0"/>
          <w:color w:val="auto"/>
        </w:rPr>
        <w:t>events;</w:t>
      </w:r>
      <w:proofErr w:type="gramEnd"/>
    </w:p>
    <w:p w14:paraId="3285A2A7" w14:textId="347A3279"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 xml:space="preserve">The application is for reimbursement of funds already spent or for infrastructure already funded by City of </w:t>
      </w:r>
      <w:proofErr w:type="gramStart"/>
      <w:r w:rsidRPr="002B0427">
        <w:rPr>
          <w:rStyle w:val="SubtleEmphasis"/>
          <w:i w:val="0"/>
          <w:iCs w:val="0"/>
          <w:color w:val="auto"/>
        </w:rPr>
        <w:t>Adelaide;</w:t>
      </w:r>
      <w:proofErr w:type="gramEnd"/>
    </w:p>
    <w:p w14:paraId="4BBDBBB5" w14:textId="1C48027C"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 xml:space="preserve">Funds are for State or Australian Government departments or other </w:t>
      </w:r>
      <w:proofErr w:type="gramStart"/>
      <w:r w:rsidRPr="002B0427">
        <w:rPr>
          <w:rStyle w:val="SubtleEmphasis"/>
          <w:i w:val="0"/>
          <w:iCs w:val="0"/>
          <w:color w:val="auto"/>
        </w:rPr>
        <w:t>Councils;</w:t>
      </w:r>
      <w:proofErr w:type="gramEnd"/>
    </w:p>
    <w:p w14:paraId="48D6DCD4" w14:textId="44BAC5B0"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 xml:space="preserve">The application requests in-kind services, or relies on recurrent funding, provided by the City of </w:t>
      </w:r>
      <w:proofErr w:type="gramStart"/>
      <w:r w:rsidRPr="002B0427">
        <w:rPr>
          <w:rStyle w:val="SubtleEmphasis"/>
          <w:i w:val="0"/>
          <w:iCs w:val="0"/>
          <w:color w:val="auto"/>
        </w:rPr>
        <w:t>Adelaide;</w:t>
      </w:r>
      <w:proofErr w:type="gramEnd"/>
    </w:p>
    <w:p w14:paraId="75E29531" w14:textId="0C38D39B" w:rsidR="002B0427" w:rsidRPr="002B0427" w:rsidRDefault="002B0427" w:rsidP="004B7F75">
      <w:pPr>
        <w:pStyle w:val="BodyText"/>
        <w:numPr>
          <w:ilvl w:val="0"/>
          <w:numId w:val="11"/>
        </w:numPr>
        <w:rPr>
          <w:rStyle w:val="SubtleEmphasis"/>
          <w:i w:val="0"/>
          <w:iCs w:val="0"/>
          <w:color w:val="auto"/>
        </w:rPr>
      </w:pPr>
      <w:r w:rsidRPr="002B0427">
        <w:rPr>
          <w:rStyle w:val="SubtleEmphasis"/>
          <w:i w:val="0"/>
          <w:iCs w:val="0"/>
          <w:color w:val="auto"/>
        </w:rPr>
        <w:t>The funding request is for projects that are the core responsibility of other levels of Government.</w:t>
      </w:r>
      <w:r>
        <w:rPr>
          <w:rStyle w:val="SubtleEmphasis"/>
          <w:i w:val="0"/>
          <w:iCs w:val="0"/>
          <w:color w:val="auto"/>
        </w:rPr>
        <w:br/>
      </w:r>
    </w:p>
    <w:p w14:paraId="10827363" w14:textId="77777777" w:rsidR="002B0427" w:rsidRPr="002B0427" w:rsidRDefault="002B0427" w:rsidP="002B0427">
      <w:pPr>
        <w:pStyle w:val="BodyText"/>
        <w:rPr>
          <w:rStyle w:val="SubtleEmphasis"/>
          <w:i w:val="0"/>
          <w:iCs w:val="0"/>
          <w:color w:val="auto"/>
        </w:rPr>
      </w:pPr>
      <w:r w:rsidRPr="002B0427">
        <w:rPr>
          <w:rStyle w:val="SubtleEmphasis"/>
          <w:i w:val="0"/>
          <w:iCs w:val="0"/>
          <w:color w:val="auto"/>
        </w:rPr>
        <w:t>Ineligible applications will not advance to the assessment stage and applicants will be notified.</w:t>
      </w:r>
    </w:p>
    <w:p w14:paraId="49E13553" w14:textId="2EDF091B" w:rsidR="004B7F75" w:rsidRDefault="004B7F75" w:rsidP="002B0427">
      <w:pPr>
        <w:pStyle w:val="Heading"/>
        <w:rPr>
          <w:rStyle w:val="SubtleEmphasis"/>
          <w:i w:val="0"/>
          <w:iCs w:val="0"/>
          <w:color w:val="DC0094"/>
        </w:rPr>
      </w:pPr>
      <w:r>
        <w:rPr>
          <w:rStyle w:val="SubtleEmphasis"/>
          <w:i w:val="0"/>
          <w:iCs w:val="0"/>
          <w:color w:val="DC0094"/>
        </w:rPr>
        <w:t>assessment criteria</w:t>
      </w:r>
    </w:p>
    <w:p w14:paraId="4AF01EAC" w14:textId="77777777" w:rsidR="004B7F75" w:rsidRDefault="004B7F75" w:rsidP="004B7F75">
      <w:pPr>
        <w:pStyle w:val="BodyText"/>
        <w:rPr>
          <w:lang w:eastAsia="en-AU"/>
        </w:rPr>
      </w:pPr>
      <w:r>
        <w:rPr>
          <w:lang w:eastAsia="en-AU"/>
        </w:rPr>
        <w:t>Applications are assessed in accordance with the following criteria:</w:t>
      </w:r>
    </w:p>
    <w:p w14:paraId="2ED7A8C6" w14:textId="77777777" w:rsidR="004B7F75" w:rsidRDefault="004B7F75" w:rsidP="004B7F75">
      <w:pPr>
        <w:pStyle w:val="BodyText"/>
        <w:rPr>
          <w:rStyle w:val="SubtleEmphasis"/>
          <w:i w:val="0"/>
          <w:iCs w:val="0"/>
          <w:color w:val="DC0094"/>
        </w:rPr>
      </w:pPr>
    </w:p>
    <w:tbl>
      <w:tblPr>
        <w:tblStyle w:val="TableGrid"/>
        <w:tblW w:w="9202" w:type="dxa"/>
        <w:tblBorders>
          <w:top w:val="single" w:sz="12" w:space="0" w:color="DC0094"/>
          <w:left w:val="single" w:sz="12" w:space="0" w:color="DC0094"/>
          <w:bottom w:val="single" w:sz="12" w:space="0" w:color="DC0094"/>
          <w:right w:val="single" w:sz="12" w:space="0" w:color="DC0094"/>
          <w:insideH w:val="dotted" w:sz="4" w:space="0" w:color="DC0094"/>
          <w:insideV w:val="dotted" w:sz="4" w:space="0" w:color="DC0094"/>
        </w:tblBorders>
        <w:tblLook w:val="04A0" w:firstRow="1" w:lastRow="0" w:firstColumn="1" w:lastColumn="0" w:noHBand="0" w:noVBand="1"/>
      </w:tblPr>
      <w:tblGrid>
        <w:gridCol w:w="7922"/>
        <w:gridCol w:w="1280"/>
      </w:tblGrid>
      <w:tr w:rsidR="004B7F75" w14:paraId="5EEB10FA" w14:textId="77777777" w:rsidTr="00C91B1A">
        <w:trPr>
          <w:trHeight w:val="712"/>
        </w:trPr>
        <w:tc>
          <w:tcPr>
            <w:tcW w:w="8065" w:type="dxa"/>
            <w:shd w:val="clear" w:color="auto" w:fill="DC0094"/>
          </w:tcPr>
          <w:p w14:paraId="13728438" w14:textId="77777777" w:rsidR="004B7F75" w:rsidRPr="006D42B1" w:rsidRDefault="004B7F75" w:rsidP="00C91B1A">
            <w:pPr>
              <w:pStyle w:val="BodyText"/>
              <w:spacing w:before="120" w:after="120"/>
              <w:rPr>
                <w:b/>
                <w:color w:val="FFFFFF" w:themeColor="background1"/>
              </w:rPr>
            </w:pPr>
            <w:r w:rsidRPr="007368CD">
              <w:rPr>
                <w:b/>
                <w:i/>
                <w:color w:val="FFFFFF" w:themeColor="background1"/>
              </w:rPr>
              <w:t>Assessment Criteria</w:t>
            </w:r>
          </w:p>
        </w:tc>
        <w:tc>
          <w:tcPr>
            <w:tcW w:w="1137" w:type="dxa"/>
            <w:shd w:val="clear" w:color="auto" w:fill="DC0094"/>
          </w:tcPr>
          <w:p w14:paraId="2B47072D" w14:textId="77777777" w:rsidR="004B7F75" w:rsidRPr="006D42B1" w:rsidRDefault="004B7F75" w:rsidP="00C91B1A">
            <w:pPr>
              <w:pStyle w:val="BodyText"/>
              <w:spacing w:before="120" w:after="120"/>
              <w:jc w:val="center"/>
              <w:rPr>
                <w:b/>
                <w:color w:val="FFFFFF" w:themeColor="background1"/>
              </w:rPr>
            </w:pPr>
            <w:r w:rsidRPr="007368CD">
              <w:rPr>
                <w:b/>
                <w:i/>
                <w:color w:val="FFFFFF" w:themeColor="background1"/>
              </w:rPr>
              <w:t>Weighting</w:t>
            </w:r>
          </w:p>
        </w:tc>
      </w:tr>
      <w:tr w:rsidR="004B7F75" w14:paraId="03624A6B" w14:textId="77777777" w:rsidTr="00C91B1A">
        <w:trPr>
          <w:trHeight w:val="19"/>
        </w:trPr>
        <w:tc>
          <w:tcPr>
            <w:tcW w:w="8065" w:type="dxa"/>
          </w:tcPr>
          <w:p w14:paraId="7AF73988" w14:textId="16C54C0D" w:rsidR="004B7F75" w:rsidRPr="007368CD" w:rsidRDefault="00CA41D2" w:rsidP="00C91B1A">
            <w:pPr>
              <w:pStyle w:val="BodyText"/>
              <w:rPr>
                <w:b/>
                <w:bCs/>
              </w:rPr>
            </w:pPr>
            <w:r w:rsidRPr="00CA41D2">
              <w:rPr>
                <w:b/>
                <w:bCs/>
              </w:rPr>
              <w:t xml:space="preserve">Develops Cultural Infrastructure and Enhances City Reputation for Events and Festivals </w:t>
            </w:r>
          </w:p>
        </w:tc>
        <w:tc>
          <w:tcPr>
            <w:tcW w:w="1137" w:type="dxa"/>
          </w:tcPr>
          <w:p w14:paraId="79671A21" w14:textId="564A2807" w:rsidR="004B7F75" w:rsidRPr="007368CD" w:rsidRDefault="00CA41D2" w:rsidP="00C91B1A">
            <w:pPr>
              <w:pStyle w:val="BodyText"/>
              <w:jc w:val="center"/>
              <w:rPr>
                <w:b/>
                <w:bCs/>
              </w:rPr>
            </w:pPr>
            <w:r>
              <w:rPr>
                <w:b/>
                <w:bCs/>
              </w:rPr>
              <w:t>60%</w:t>
            </w:r>
          </w:p>
        </w:tc>
      </w:tr>
      <w:tr w:rsidR="004B7F75" w14:paraId="4BC87AB6" w14:textId="77777777" w:rsidTr="00C91B1A">
        <w:trPr>
          <w:trHeight w:val="19"/>
        </w:trPr>
        <w:tc>
          <w:tcPr>
            <w:tcW w:w="8065" w:type="dxa"/>
          </w:tcPr>
          <w:p w14:paraId="2900F9D5" w14:textId="3A42194D" w:rsidR="004B7F75" w:rsidRPr="001B73A6" w:rsidRDefault="00CA41D2" w:rsidP="00C91B1A">
            <w:pPr>
              <w:pStyle w:val="BodyText"/>
              <w:rPr>
                <w:lang w:eastAsia="en-AU"/>
              </w:rPr>
            </w:pPr>
            <w:r>
              <w:rPr>
                <w:lang w:eastAsia="en-AU"/>
              </w:rPr>
              <w:t>Event Location</w:t>
            </w:r>
          </w:p>
        </w:tc>
        <w:tc>
          <w:tcPr>
            <w:tcW w:w="1137" w:type="dxa"/>
          </w:tcPr>
          <w:p w14:paraId="257D1CD9" w14:textId="4A54ACB4" w:rsidR="004B7F75" w:rsidRDefault="004B7F75" w:rsidP="00C91B1A">
            <w:pPr>
              <w:pStyle w:val="BodyText"/>
              <w:jc w:val="center"/>
              <w:rPr>
                <w:rFonts w:cs="Tahoma"/>
                <w:lang w:eastAsia="en-AU"/>
              </w:rPr>
            </w:pPr>
          </w:p>
        </w:tc>
      </w:tr>
      <w:tr w:rsidR="004B7F75" w14:paraId="1AB395C6" w14:textId="77777777" w:rsidTr="00C91B1A">
        <w:trPr>
          <w:trHeight w:val="19"/>
        </w:trPr>
        <w:tc>
          <w:tcPr>
            <w:tcW w:w="8065" w:type="dxa"/>
          </w:tcPr>
          <w:p w14:paraId="651875B3" w14:textId="7DA0C334" w:rsidR="004B7F75" w:rsidRPr="00CA41D2" w:rsidRDefault="00CA41D2" w:rsidP="00C91B1A">
            <w:pPr>
              <w:pStyle w:val="BodyText"/>
            </w:pPr>
            <w:r w:rsidRPr="00CA41D2">
              <w:t>Significance of the event to the community</w:t>
            </w:r>
          </w:p>
        </w:tc>
        <w:tc>
          <w:tcPr>
            <w:tcW w:w="1137" w:type="dxa"/>
          </w:tcPr>
          <w:p w14:paraId="76684F35" w14:textId="2D7252AE" w:rsidR="004B7F75" w:rsidRPr="007368CD" w:rsidRDefault="004B7F75" w:rsidP="00C91B1A">
            <w:pPr>
              <w:pStyle w:val="BodyText"/>
              <w:jc w:val="center"/>
              <w:rPr>
                <w:rFonts w:cs="Tahoma"/>
                <w:b/>
                <w:bCs/>
                <w:lang w:eastAsia="en-AU"/>
              </w:rPr>
            </w:pPr>
          </w:p>
        </w:tc>
      </w:tr>
      <w:tr w:rsidR="004B7F75" w14:paraId="2472DC30" w14:textId="77777777" w:rsidTr="00C91B1A">
        <w:trPr>
          <w:trHeight w:val="19"/>
        </w:trPr>
        <w:tc>
          <w:tcPr>
            <w:tcW w:w="8065" w:type="dxa"/>
          </w:tcPr>
          <w:p w14:paraId="76858798" w14:textId="1FE13401" w:rsidR="004B7F75" w:rsidRPr="001B73A6" w:rsidRDefault="00CA41D2" w:rsidP="00C91B1A">
            <w:pPr>
              <w:pStyle w:val="BodyText"/>
              <w:rPr>
                <w:lang w:eastAsia="en-AU"/>
              </w:rPr>
            </w:pPr>
            <w:r>
              <w:rPr>
                <w:lang w:eastAsia="en-AU"/>
              </w:rPr>
              <w:t>Applicant’s experience in delivering similar projects</w:t>
            </w:r>
          </w:p>
        </w:tc>
        <w:tc>
          <w:tcPr>
            <w:tcW w:w="1137" w:type="dxa"/>
          </w:tcPr>
          <w:p w14:paraId="7BAFDB09" w14:textId="15DA9629" w:rsidR="004B7F75" w:rsidRDefault="004B7F75" w:rsidP="00C91B1A">
            <w:pPr>
              <w:pStyle w:val="BodyText"/>
              <w:jc w:val="center"/>
              <w:rPr>
                <w:rFonts w:cs="Tahoma"/>
                <w:lang w:eastAsia="en-AU"/>
              </w:rPr>
            </w:pPr>
          </w:p>
        </w:tc>
      </w:tr>
      <w:tr w:rsidR="004B7F75" w14:paraId="6B285699" w14:textId="77777777" w:rsidTr="00C91B1A">
        <w:trPr>
          <w:trHeight w:val="19"/>
        </w:trPr>
        <w:tc>
          <w:tcPr>
            <w:tcW w:w="8065" w:type="dxa"/>
          </w:tcPr>
          <w:p w14:paraId="6575D0E9" w14:textId="73FF649C" w:rsidR="004B7F75" w:rsidRPr="001B73A6" w:rsidRDefault="00CA41D2" w:rsidP="00C91B1A">
            <w:pPr>
              <w:pStyle w:val="BodyText"/>
              <w:rPr>
                <w:lang w:eastAsia="en-AU"/>
              </w:rPr>
            </w:pPr>
            <w:r>
              <w:rPr>
                <w:lang w:eastAsia="en-AU"/>
              </w:rPr>
              <w:t xml:space="preserve">Marketing / </w:t>
            </w:r>
            <w:r w:rsidR="008B6C62">
              <w:rPr>
                <w:lang w:eastAsia="en-AU"/>
              </w:rPr>
              <w:t>p</w:t>
            </w:r>
            <w:r>
              <w:rPr>
                <w:lang w:eastAsia="en-AU"/>
              </w:rPr>
              <w:t>romotional plan</w:t>
            </w:r>
          </w:p>
        </w:tc>
        <w:tc>
          <w:tcPr>
            <w:tcW w:w="1137" w:type="dxa"/>
          </w:tcPr>
          <w:p w14:paraId="73DC72AD" w14:textId="7DBF582A" w:rsidR="004B7F75" w:rsidRPr="001B73A6" w:rsidRDefault="004B7F75" w:rsidP="00C91B1A">
            <w:pPr>
              <w:pStyle w:val="BodyText"/>
              <w:jc w:val="center"/>
              <w:rPr>
                <w:rFonts w:cs="Tahoma"/>
                <w:lang w:eastAsia="en-AU"/>
              </w:rPr>
            </w:pPr>
          </w:p>
        </w:tc>
      </w:tr>
      <w:tr w:rsidR="004B7F75" w14:paraId="282F7F67" w14:textId="77777777" w:rsidTr="00C91B1A">
        <w:trPr>
          <w:trHeight w:val="19"/>
        </w:trPr>
        <w:tc>
          <w:tcPr>
            <w:tcW w:w="8065" w:type="dxa"/>
          </w:tcPr>
          <w:p w14:paraId="058F2040" w14:textId="7819D826" w:rsidR="004B7F75" w:rsidRPr="001B73A6" w:rsidRDefault="00CA41D2" w:rsidP="00C91B1A">
            <w:pPr>
              <w:pStyle w:val="BodyText"/>
              <w:rPr>
                <w:lang w:eastAsia="en-AU"/>
              </w:rPr>
            </w:pPr>
            <w:r>
              <w:rPr>
                <w:lang w:eastAsia="en-AU"/>
              </w:rPr>
              <w:lastRenderedPageBreak/>
              <w:t>Covid-19 preparedness</w:t>
            </w:r>
          </w:p>
        </w:tc>
        <w:tc>
          <w:tcPr>
            <w:tcW w:w="1137" w:type="dxa"/>
          </w:tcPr>
          <w:p w14:paraId="5ED4E3AE" w14:textId="30A64915" w:rsidR="004B7F75" w:rsidRDefault="004B7F75" w:rsidP="00C91B1A">
            <w:pPr>
              <w:pStyle w:val="BodyText"/>
              <w:jc w:val="center"/>
              <w:rPr>
                <w:rFonts w:cs="Tahoma"/>
                <w:lang w:eastAsia="en-AU"/>
              </w:rPr>
            </w:pPr>
          </w:p>
        </w:tc>
      </w:tr>
      <w:tr w:rsidR="004B7F75" w14:paraId="6BC9B1DD" w14:textId="77777777" w:rsidTr="00C91B1A">
        <w:trPr>
          <w:trHeight w:val="19"/>
        </w:trPr>
        <w:tc>
          <w:tcPr>
            <w:tcW w:w="8065" w:type="dxa"/>
          </w:tcPr>
          <w:p w14:paraId="41374931" w14:textId="71AA2C28" w:rsidR="004B7F75" w:rsidRPr="001B73A6" w:rsidRDefault="00CA41D2" w:rsidP="00C91B1A">
            <w:pPr>
              <w:pStyle w:val="BodyText"/>
              <w:rPr>
                <w:lang w:eastAsia="en-AU"/>
              </w:rPr>
            </w:pPr>
            <w:r>
              <w:rPr>
                <w:lang w:eastAsia="en-AU"/>
              </w:rPr>
              <w:t>Hire or purchase from SA suppliers</w:t>
            </w:r>
          </w:p>
        </w:tc>
        <w:tc>
          <w:tcPr>
            <w:tcW w:w="1137" w:type="dxa"/>
          </w:tcPr>
          <w:p w14:paraId="00FFAE2D" w14:textId="3BA4CCA7" w:rsidR="004B7F75" w:rsidRPr="001B73A6" w:rsidRDefault="004B7F75" w:rsidP="00C91B1A">
            <w:pPr>
              <w:pStyle w:val="BodyText"/>
              <w:jc w:val="center"/>
              <w:rPr>
                <w:rFonts w:cs="Tahoma"/>
                <w:lang w:eastAsia="en-AU"/>
              </w:rPr>
            </w:pPr>
          </w:p>
        </w:tc>
      </w:tr>
      <w:tr w:rsidR="004B7F75" w14:paraId="6ED001F9" w14:textId="77777777" w:rsidTr="00C91B1A">
        <w:trPr>
          <w:trHeight w:val="19"/>
        </w:trPr>
        <w:tc>
          <w:tcPr>
            <w:tcW w:w="8065" w:type="dxa"/>
          </w:tcPr>
          <w:p w14:paraId="33B949FF" w14:textId="1FA8A265" w:rsidR="004B7F75" w:rsidRPr="00CA41D2" w:rsidRDefault="00CA41D2" w:rsidP="00C91B1A">
            <w:pPr>
              <w:pStyle w:val="BodyText"/>
              <w:rPr>
                <w:b/>
                <w:bCs/>
                <w:lang w:eastAsia="en-AU"/>
              </w:rPr>
            </w:pPr>
            <w:r w:rsidRPr="00CA41D2">
              <w:rPr>
                <w:b/>
                <w:bCs/>
                <w:lang w:eastAsia="en-AU"/>
              </w:rPr>
              <w:t>Supports community diversity, cultural expression, experiences, and participation</w:t>
            </w:r>
          </w:p>
        </w:tc>
        <w:tc>
          <w:tcPr>
            <w:tcW w:w="1137" w:type="dxa"/>
          </w:tcPr>
          <w:p w14:paraId="6658916D" w14:textId="41A83041" w:rsidR="004B7F75" w:rsidRPr="00CA41D2" w:rsidRDefault="00CA41D2" w:rsidP="00C91B1A">
            <w:pPr>
              <w:pStyle w:val="BodyText"/>
              <w:jc w:val="center"/>
              <w:rPr>
                <w:rFonts w:cs="Tahoma"/>
                <w:b/>
                <w:bCs/>
                <w:lang w:eastAsia="en-AU"/>
              </w:rPr>
            </w:pPr>
            <w:r w:rsidRPr="00CA41D2">
              <w:rPr>
                <w:rFonts w:cs="Tahoma"/>
                <w:b/>
                <w:bCs/>
                <w:lang w:eastAsia="en-AU"/>
              </w:rPr>
              <w:t>20%</w:t>
            </w:r>
          </w:p>
        </w:tc>
      </w:tr>
      <w:tr w:rsidR="004B7F75" w14:paraId="491FDF3E" w14:textId="77777777" w:rsidTr="00C91B1A">
        <w:trPr>
          <w:trHeight w:val="19"/>
        </w:trPr>
        <w:tc>
          <w:tcPr>
            <w:tcW w:w="8065" w:type="dxa"/>
          </w:tcPr>
          <w:p w14:paraId="3CE8A591" w14:textId="00477281" w:rsidR="004B7F75" w:rsidRPr="00CA41D2" w:rsidRDefault="008B6C62" w:rsidP="00C91B1A">
            <w:pPr>
              <w:pStyle w:val="BodyText"/>
              <w:rPr>
                <w:lang w:eastAsia="en-AU"/>
              </w:rPr>
            </w:pPr>
            <w:r>
              <w:rPr>
                <w:lang w:eastAsia="en-AU"/>
              </w:rPr>
              <w:t>Celebration of d</w:t>
            </w:r>
            <w:r w:rsidR="00CA41D2">
              <w:rPr>
                <w:lang w:eastAsia="en-AU"/>
              </w:rPr>
              <w:t>iverse</w:t>
            </w:r>
            <w:r w:rsidR="00CA41D2" w:rsidRPr="00CA41D2">
              <w:rPr>
                <w:lang w:eastAsia="en-AU"/>
              </w:rPr>
              <w:t xml:space="preserve"> community, culture</w:t>
            </w:r>
            <w:r>
              <w:rPr>
                <w:lang w:eastAsia="en-AU"/>
              </w:rPr>
              <w:t>,</w:t>
            </w:r>
            <w:r w:rsidR="00CA41D2" w:rsidRPr="00CA41D2">
              <w:rPr>
                <w:lang w:eastAsia="en-AU"/>
              </w:rPr>
              <w:t xml:space="preserve"> and creativity, including through the participation of Aboriginal and Torres Strait Islander peoples and artists</w:t>
            </w:r>
          </w:p>
        </w:tc>
        <w:tc>
          <w:tcPr>
            <w:tcW w:w="1137" w:type="dxa"/>
          </w:tcPr>
          <w:p w14:paraId="44248C1C" w14:textId="5EE4101A" w:rsidR="004B7F75" w:rsidRPr="001B73A6" w:rsidRDefault="004B7F75" w:rsidP="00C91B1A">
            <w:pPr>
              <w:pStyle w:val="BodyText"/>
              <w:jc w:val="center"/>
              <w:rPr>
                <w:rFonts w:cs="Tahoma"/>
                <w:lang w:eastAsia="en-AU"/>
              </w:rPr>
            </w:pPr>
          </w:p>
        </w:tc>
      </w:tr>
      <w:tr w:rsidR="00CA41D2" w14:paraId="750471F2" w14:textId="77777777" w:rsidTr="00C91B1A">
        <w:trPr>
          <w:trHeight w:val="19"/>
        </w:trPr>
        <w:tc>
          <w:tcPr>
            <w:tcW w:w="8065" w:type="dxa"/>
          </w:tcPr>
          <w:p w14:paraId="205A8A98" w14:textId="6E5F9EC3" w:rsidR="00CA41D2" w:rsidRPr="00CA41D2" w:rsidRDefault="00CA41D2" w:rsidP="00C91B1A">
            <w:pPr>
              <w:pStyle w:val="BodyText"/>
              <w:rPr>
                <w:lang w:eastAsia="en-AU"/>
              </w:rPr>
            </w:pPr>
            <w:r>
              <w:rPr>
                <w:lang w:eastAsia="en-AU"/>
              </w:rPr>
              <w:t>Community connections and wellbeing</w:t>
            </w:r>
          </w:p>
        </w:tc>
        <w:tc>
          <w:tcPr>
            <w:tcW w:w="1137" w:type="dxa"/>
          </w:tcPr>
          <w:p w14:paraId="4C83BD5D" w14:textId="77777777" w:rsidR="00CA41D2" w:rsidRPr="001B73A6" w:rsidRDefault="00CA41D2" w:rsidP="00C91B1A">
            <w:pPr>
              <w:pStyle w:val="BodyText"/>
              <w:jc w:val="center"/>
              <w:rPr>
                <w:rFonts w:cs="Tahoma"/>
                <w:lang w:eastAsia="en-AU"/>
              </w:rPr>
            </w:pPr>
          </w:p>
        </w:tc>
      </w:tr>
      <w:tr w:rsidR="00CA41D2" w14:paraId="4D542EA3" w14:textId="77777777" w:rsidTr="00C91B1A">
        <w:trPr>
          <w:trHeight w:val="19"/>
        </w:trPr>
        <w:tc>
          <w:tcPr>
            <w:tcW w:w="8065" w:type="dxa"/>
          </w:tcPr>
          <w:p w14:paraId="1032814D" w14:textId="3A580659" w:rsidR="00CA41D2" w:rsidRPr="00CA41D2" w:rsidRDefault="00CA41D2" w:rsidP="00CA41D2">
            <w:pPr>
              <w:pStyle w:val="BodyText"/>
              <w:rPr>
                <w:lang w:eastAsia="en-AU"/>
              </w:rPr>
            </w:pPr>
            <w:r>
              <w:rPr>
                <w:lang w:eastAsia="en-AU"/>
              </w:rPr>
              <w:t>Reignition of the City and visitation to the CBD and/or North Adelaide</w:t>
            </w:r>
          </w:p>
        </w:tc>
        <w:tc>
          <w:tcPr>
            <w:tcW w:w="1137" w:type="dxa"/>
          </w:tcPr>
          <w:p w14:paraId="7C972430" w14:textId="77777777" w:rsidR="00CA41D2" w:rsidRPr="001B73A6" w:rsidRDefault="00CA41D2" w:rsidP="00C91B1A">
            <w:pPr>
              <w:pStyle w:val="BodyText"/>
              <w:jc w:val="center"/>
              <w:rPr>
                <w:rFonts w:cs="Tahoma"/>
                <w:lang w:eastAsia="en-AU"/>
              </w:rPr>
            </w:pPr>
          </w:p>
        </w:tc>
      </w:tr>
      <w:tr w:rsidR="00CA41D2" w14:paraId="7EB9CD07" w14:textId="77777777" w:rsidTr="00C91B1A">
        <w:trPr>
          <w:trHeight w:val="19"/>
        </w:trPr>
        <w:tc>
          <w:tcPr>
            <w:tcW w:w="8065" w:type="dxa"/>
          </w:tcPr>
          <w:p w14:paraId="353AE223" w14:textId="54286331" w:rsidR="00CA41D2" w:rsidRPr="00CA41D2" w:rsidRDefault="00600143" w:rsidP="00C91B1A">
            <w:pPr>
              <w:pStyle w:val="BodyText"/>
              <w:rPr>
                <w:lang w:eastAsia="en-AU"/>
              </w:rPr>
            </w:pPr>
            <w:r>
              <w:rPr>
                <w:lang w:eastAsia="en-AU"/>
              </w:rPr>
              <w:t>Event c</w:t>
            </w:r>
            <w:r w:rsidR="00CA41D2">
              <w:rPr>
                <w:lang w:eastAsia="en-AU"/>
              </w:rPr>
              <w:t>reative value</w:t>
            </w:r>
          </w:p>
        </w:tc>
        <w:tc>
          <w:tcPr>
            <w:tcW w:w="1137" w:type="dxa"/>
          </w:tcPr>
          <w:p w14:paraId="2F021A5A" w14:textId="77777777" w:rsidR="00CA41D2" w:rsidRPr="001B73A6" w:rsidRDefault="00CA41D2" w:rsidP="00C91B1A">
            <w:pPr>
              <w:pStyle w:val="BodyText"/>
              <w:jc w:val="center"/>
              <w:rPr>
                <w:rFonts w:cs="Tahoma"/>
                <w:lang w:eastAsia="en-AU"/>
              </w:rPr>
            </w:pPr>
          </w:p>
        </w:tc>
      </w:tr>
      <w:tr w:rsidR="00CA41D2" w14:paraId="3A583867" w14:textId="77777777" w:rsidTr="00C91B1A">
        <w:trPr>
          <w:trHeight w:val="19"/>
        </w:trPr>
        <w:tc>
          <w:tcPr>
            <w:tcW w:w="8065" w:type="dxa"/>
          </w:tcPr>
          <w:p w14:paraId="0CBC3FAF" w14:textId="2FE9B5EF" w:rsidR="00CA41D2" w:rsidRDefault="00600143" w:rsidP="00C91B1A">
            <w:pPr>
              <w:pStyle w:val="BodyText"/>
              <w:rPr>
                <w:lang w:eastAsia="en-AU"/>
              </w:rPr>
            </w:pPr>
            <w:r>
              <w:rPr>
                <w:lang w:eastAsia="en-AU"/>
              </w:rPr>
              <w:t>Event e</w:t>
            </w:r>
            <w:r w:rsidR="00CA41D2">
              <w:rPr>
                <w:lang w:eastAsia="en-AU"/>
              </w:rPr>
              <w:t>valuation plan</w:t>
            </w:r>
          </w:p>
        </w:tc>
        <w:tc>
          <w:tcPr>
            <w:tcW w:w="1137" w:type="dxa"/>
          </w:tcPr>
          <w:p w14:paraId="2CE3CDBB" w14:textId="77777777" w:rsidR="00CA41D2" w:rsidRPr="001B73A6" w:rsidRDefault="00CA41D2" w:rsidP="00C91B1A">
            <w:pPr>
              <w:pStyle w:val="BodyText"/>
              <w:jc w:val="center"/>
              <w:rPr>
                <w:rFonts w:cs="Tahoma"/>
                <w:lang w:eastAsia="en-AU"/>
              </w:rPr>
            </w:pPr>
          </w:p>
        </w:tc>
      </w:tr>
      <w:tr w:rsidR="00CA41D2" w14:paraId="6B280270" w14:textId="77777777" w:rsidTr="00C91B1A">
        <w:trPr>
          <w:trHeight w:val="19"/>
        </w:trPr>
        <w:tc>
          <w:tcPr>
            <w:tcW w:w="8065" w:type="dxa"/>
          </w:tcPr>
          <w:p w14:paraId="4BFFA7E2" w14:textId="679DEB0B" w:rsidR="00CA41D2" w:rsidRPr="00CA41D2" w:rsidRDefault="00CA41D2" w:rsidP="00C91B1A">
            <w:pPr>
              <w:pStyle w:val="BodyText"/>
              <w:rPr>
                <w:b/>
                <w:bCs/>
                <w:lang w:eastAsia="en-AU"/>
              </w:rPr>
            </w:pPr>
            <w:r>
              <w:rPr>
                <w:b/>
                <w:bCs/>
                <w:lang w:eastAsia="en-AU"/>
              </w:rPr>
              <w:t>Regulatory Requirements</w:t>
            </w:r>
          </w:p>
        </w:tc>
        <w:tc>
          <w:tcPr>
            <w:tcW w:w="1137" w:type="dxa"/>
          </w:tcPr>
          <w:p w14:paraId="29D85455" w14:textId="45DFDC0C" w:rsidR="00CA41D2" w:rsidRPr="00CA41D2" w:rsidRDefault="00CA41D2" w:rsidP="00C91B1A">
            <w:pPr>
              <w:pStyle w:val="BodyText"/>
              <w:jc w:val="center"/>
              <w:rPr>
                <w:rFonts w:cs="Tahoma"/>
                <w:b/>
                <w:bCs/>
                <w:lang w:eastAsia="en-AU"/>
              </w:rPr>
            </w:pPr>
            <w:r w:rsidRPr="00CA41D2">
              <w:rPr>
                <w:rFonts w:cs="Tahoma"/>
                <w:b/>
                <w:bCs/>
                <w:lang w:eastAsia="en-AU"/>
              </w:rPr>
              <w:t>20%</w:t>
            </w:r>
          </w:p>
        </w:tc>
      </w:tr>
      <w:tr w:rsidR="00CA41D2" w14:paraId="0FABEC11" w14:textId="77777777" w:rsidTr="00C91B1A">
        <w:trPr>
          <w:trHeight w:val="19"/>
        </w:trPr>
        <w:tc>
          <w:tcPr>
            <w:tcW w:w="8065" w:type="dxa"/>
          </w:tcPr>
          <w:p w14:paraId="64CF4FF8" w14:textId="4ACE640E" w:rsidR="00CA41D2" w:rsidRDefault="00CA41D2" w:rsidP="00C91B1A">
            <w:pPr>
              <w:pStyle w:val="BodyText"/>
              <w:rPr>
                <w:lang w:eastAsia="en-AU"/>
              </w:rPr>
            </w:pPr>
            <w:r>
              <w:rPr>
                <w:lang w:eastAsia="en-AU"/>
              </w:rPr>
              <w:t xml:space="preserve">Completion of budget – including </w:t>
            </w:r>
            <w:r w:rsidR="00536BA0">
              <w:rPr>
                <w:lang w:eastAsia="en-AU"/>
              </w:rPr>
              <w:t xml:space="preserve">matched funding and </w:t>
            </w:r>
            <w:r>
              <w:rPr>
                <w:lang w:eastAsia="en-AU"/>
              </w:rPr>
              <w:t>professional quotes</w:t>
            </w:r>
          </w:p>
        </w:tc>
        <w:tc>
          <w:tcPr>
            <w:tcW w:w="1137" w:type="dxa"/>
          </w:tcPr>
          <w:p w14:paraId="003BC2C7" w14:textId="77777777" w:rsidR="00CA41D2" w:rsidRPr="001B73A6" w:rsidRDefault="00CA41D2" w:rsidP="00C91B1A">
            <w:pPr>
              <w:pStyle w:val="BodyText"/>
              <w:jc w:val="center"/>
              <w:rPr>
                <w:rFonts w:cs="Tahoma"/>
                <w:lang w:eastAsia="en-AU"/>
              </w:rPr>
            </w:pPr>
          </w:p>
        </w:tc>
      </w:tr>
      <w:tr w:rsidR="00CA41D2" w14:paraId="061A23AD" w14:textId="77777777" w:rsidTr="00C91B1A">
        <w:trPr>
          <w:trHeight w:val="19"/>
        </w:trPr>
        <w:tc>
          <w:tcPr>
            <w:tcW w:w="8065" w:type="dxa"/>
          </w:tcPr>
          <w:p w14:paraId="38204F94" w14:textId="6F4C69CC" w:rsidR="00CA41D2" w:rsidRDefault="00CA41D2" w:rsidP="00C91B1A">
            <w:pPr>
              <w:pStyle w:val="BodyText"/>
              <w:rPr>
                <w:lang w:eastAsia="en-AU"/>
              </w:rPr>
            </w:pPr>
            <w:r>
              <w:rPr>
                <w:lang w:eastAsia="en-AU"/>
              </w:rPr>
              <w:t>Necessity and safety of infrastructure</w:t>
            </w:r>
          </w:p>
        </w:tc>
        <w:tc>
          <w:tcPr>
            <w:tcW w:w="1137" w:type="dxa"/>
          </w:tcPr>
          <w:p w14:paraId="4A99B74F" w14:textId="77777777" w:rsidR="00CA41D2" w:rsidRPr="001B73A6" w:rsidRDefault="00CA41D2" w:rsidP="00C91B1A">
            <w:pPr>
              <w:pStyle w:val="BodyText"/>
              <w:jc w:val="center"/>
              <w:rPr>
                <w:rFonts w:cs="Tahoma"/>
                <w:lang w:eastAsia="en-AU"/>
              </w:rPr>
            </w:pPr>
          </w:p>
        </w:tc>
      </w:tr>
      <w:tr w:rsidR="004B7F75" w14:paraId="0DA773F0" w14:textId="77777777" w:rsidTr="00C91B1A">
        <w:trPr>
          <w:trHeight w:val="19"/>
        </w:trPr>
        <w:tc>
          <w:tcPr>
            <w:tcW w:w="8065" w:type="dxa"/>
          </w:tcPr>
          <w:p w14:paraId="66C43BE4" w14:textId="77777777" w:rsidR="004B7F75" w:rsidRPr="007368CD" w:rsidRDefault="004B7F75" w:rsidP="00C91B1A">
            <w:pPr>
              <w:pStyle w:val="BodyText"/>
              <w:rPr>
                <w:b/>
                <w:bCs/>
                <w:lang w:eastAsia="en-AU"/>
              </w:rPr>
            </w:pPr>
            <w:r w:rsidRPr="007368CD">
              <w:rPr>
                <w:b/>
                <w:bCs/>
                <w:lang w:eastAsia="en-AU"/>
              </w:rPr>
              <w:t xml:space="preserve">Total </w:t>
            </w:r>
          </w:p>
        </w:tc>
        <w:tc>
          <w:tcPr>
            <w:tcW w:w="1137" w:type="dxa"/>
          </w:tcPr>
          <w:p w14:paraId="113A8906" w14:textId="77777777" w:rsidR="004B7F75" w:rsidRPr="007368CD" w:rsidRDefault="004B7F75" w:rsidP="00C91B1A">
            <w:pPr>
              <w:pStyle w:val="BodyText"/>
              <w:jc w:val="center"/>
              <w:rPr>
                <w:rFonts w:cs="Tahoma"/>
                <w:b/>
                <w:bCs/>
                <w:lang w:eastAsia="en-AU"/>
              </w:rPr>
            </w:pPr>
            <w:r w:rsidRPr="007368CD">
              <w:rPr>
                <w:rFonts w:cs="Tahoma"/>
                <w:b/>
                <w:bCs/>
                <w:lang w:eastAsia="en-AU"/>
              </w:rPr>
              <w:t>100%</w:t>
            </w:r>
          </w:p>
        </w:tc>
      </w:tr>
    </w:tbl>
    <w:p w14:paraId="2009532B" w14:textId="77777777" w:rsidR="004B7F75" w:rsidRDefault="004B7F75" w:rsidP="002B0427">
      <w:pPr>
        <w:pStyle w:val="Heading"/>
        <w:rPr>
          <w:rStyle w:val="SubtleEmphasis"/>
          <w:i w:val="0"/>
          <w:iCs w:val="0"/>
          <w:color w:val="DC0094"/>
        </w:rPr>
      </w:pPr>
    </w:p>
    <w:p w14:paraId="2067AB42" w14:textId="77777777" w:rsidR="002B0427" w:rsidRPr="002B0427" w:rsidRDefault="002B0427" w:rsidP="002B0427">
      <w:pPr>
        <w:pStyle w:val="Heading"/>
        <w:rPr>
          <w:rStyle w:val="SubtleEmphasis"/>
          <w:i w:val="0"/>
          <w:iCs w:val="0"/>
          <w:color w:val="DC0094"/>
        </w:rPr>
      </w:pPr>
      <w:r w:rsidRPr="002B0427">
        <w:rPr>
          <w:rStyle w:val="SubtleEmphasis"/>
          <w:i w:val="0"/>
          <w:iCs w:val="0"/>
          <w:color w:val="DC0094"/>
        </w:rPr>
        <w:t>Notification and Payment</w:t>
      </w:r>
    </w:p>
    <w:p w14:paraId="4421B960" w14:textId="77777777" w:rsidR="002B0427" w:rsidRPr="002B0427" w:rsidRDefault="002B0427" w:rsidP="002B0427">
      <w:pPr>
        <w:pStyle w:val="BodyText"/>
        <w:rPr>
          <w:rStyle w:val="SubtleEmphasis"/>
          <w:i w:val="0"/>
          <w:iCs w:val="0"/>
          <w:color w:val="333F48"/>
        </w:rPr>
      </w:pPr>
      <w:r w:rsidRPr="002B0427">
        <w:rPr>
          <w:rStyle w:val="SubtleEmphasis"/>
          <w:i w:val="0"/>
          <w:iCs w:val="0"/>
          <w:color w:val="333F48"/>
        </w:rPr>
        <w:t xml:space="preserve">City of Adelaide will acknowledge applications at the time of submission by email. </w:t>
      </w:r>
    </w:p>
    <w:p w14:paraId="5CD16CC4" w14:textId="77777777" w:rsidR="002B0427" w:rsidRPr="002B0427" w:rsidRDefault="002B0427" w:rsidP="002B0427">
      <w:pPr>
        <w:pStyle w:val="BodyText"/>
        <w:rPr>
          <w:rStyle w:val="SubtleEmphasis"/>
          <w:i w:val="0"/>
          <w:iCs w:val="0"/>
          <w:color w:val="333F48"/>
        </w:rPr>
      </w:pPr>
      <w:r w:rsidRPr="002B0427">
        <w:rPr>
          <w:rStyle w:val="SubtleEmphasis"/>
          <w:i w:val="0"/>
          <w:iCs w:val="0"/>
          <w:color w:val="333F48"/>
        </w:rPr>
        <w:t>The funding decision made by the City of Adelaide is final.</w:t>
      </w:r>
    </w:p>
    <w:p w14:paraId="694693B0" w14:textId="77777777" w:rsidR="002B0427" w:rsidRPr="002B0427" w:rsidRDefault="002B0427" w:rsidP="002B0427">
      <w:pPr>
        <w:pStyle w:val="BodyText"/>
        <w:rPr>
          <w:rStyle w:val="SubtleEmphasis"/>
          <w:i w:val="0"/>
          <w:iCs w:val="0"/>
          <w:color w:val="333F48"/>
        </w:rPr>
      </w:pPr>
      <w:r w:rsidRPr="002B0427">
        <w:rPr>
          <w:rStyle w:val="SubtleEmphasis"/>
          <w:i w:val="0"/>
          <w:iCs w:val="0"/>
          <w:color w:val="333F48"/>
        </w:rPr>
        <w:t>Prior to payment, all successful applicants will be required to:</w:t>
      </w:r>
    </w:p>
    <w:p w14:paraId="539CA3C6" w14:textId="36BCCDFD" w:rsidR="002B0427" w:rsidRPr="002B0427" w:rsidRDefault="002B0427" w:rsidP="00CA41D2">
      <w:pPr>
        <w:pStyle w:val="BodyText"/>
        <w:numPr>
          <w:ilvl w:val="0"/>
          <w:numId w:val="12"/>
        </w:numPr>
        <w:rPr>
          <w:rStyle w:val="SubtleEmphasis"/>
          <w:i w:val="0"/>
          <w:iCs w:val="0"/>
          <w:color w:val="333F48"/>
        </w:rPr>
      </w:pPr>
      <w:r w:rsidRPr="002B0427">
        <w:rPr>
          <w:rStyle w:val="SubtleEmphasis"/>
          <w:i w:val="0"/>
          <w:iCs w:val="0"/>
          <w:color w:val="333F48"/>
        </w:rPr>
        <w:t>Sign a funding agreement detailing the project terms and conditions</w:t>
      </w:r>
    </w:p>
    <w:p w14:paraId="3B43BECB" w14:textId="44FC587B" w:rsidR="002B0427" w:rsidRPr="002B0427" w:rsidRDefault="002B0427" w:rsidP="00CA41D2">
      <w:pPr>
        <w:pStyle w:val="BodyText"/>
        <w:numPr>
          <w:ilvl w:val="0"/>
          <w:numId w:val="12"/>
        </w:numPr>
        <w:rPr>
          <w:rStyle w:val="SubtleEmphasis"/>
          <w:i w:val="0"/>
          <w:iCs w:val="0"/>
          <w:color w:val="333F48"/>
        </w:rPr>
      </w:pPr>
      <w:r w:rsidRPr="002B0427">
        <w:rPr>
          <w:rStyle w:val="SubtleEmphasis"/>
          <w:i w:val="0"/>
          <w:iCs w:val="0"/>
          <w:color w:val="333F48"/>
        </w:rPr>
        <w:t>Provide a copy of their public liability insurance “Certificate of Currency” (minimum $20 million)</w:t>
      </w:r>
      <w:r w:rsidR="008B6C62">
        <w:rPr>
          <w:rStyle w:val="SubtleEmphasis"/>
          <w:i w:val="0"/>
          <w:iCs w:val="0"/>
          <w:color w:val="333F48"/>
        </w:rPr>
        <w:t>,</w:t>
      </w:r>
      <w:r w:rsidRPr="002B0427">
        <w:rPr>
          <w:rStyle w:val="SubtleEmphasis"/>
          <w:i w:val="0"/>
          <w:iCs w:val="0"/>
          <w:color w:val="333F48"/>
        </w:rPr>
        <w:t xml:space="preserve"> noting The City of Adelaide as an interested party. </w:t>
      </w:r>
    </w:p>
    <w:p w14:paraId="30FB3FBF" w14:textId="4318BD1A" w:rsidR="002B0427" w:rsidRPr="002B0427" w:rsidRDefault="002B0427" w:rsidP="00CA41D2">
      <w:pPr>
        <w:pStyle w:val="BodyText"/>
        <w:numPr>
          <w:ilvl w:val="0"/>
          <w:numId w:val="12"/>
        </w:numPr>
        <w:rPr>
          <w:rStyle w:val="SubtleEmphasis"/>
          <w:i w:val="0"/>
          <w:iCs w:val="0"/>
          <w:color w:val="333F48"/>
        </w:rPr>
      </w:pPr>
      <w:r w:rsidRPr="002B0427">
        <w:rPr>
          <w:rStyle w:val="SubtleEmphasis"/>
          <w:i w:val="0"/>
          <w:iCs w:val="0"/>
          <w:color w:val="333F48"/>
        </w:rPr>
        <w:t>Provide a tax compliant invoice for the agreed funding amount (plus GST if applicable).</w:t>
      </w:r>
    </w:p>
    <w:p w14:paraId="31C95F99" w14:textId="68FB8633" w:rsidR="002B0427" w:rsidRPr="002B0427" w:rsidRDefault="002B0427" w:rsidP="002B0427">
      <w:pPr>
        <w:pStyle w:val="BodyText"/>
        <w:rPr>
          <w:rStyle w:val="SubtleEmphasis"/>
          <w:i w:val="0"/>
          <w:iCs w:val="0"/>
          <w:color w:val="333F48"/>
        </w:rPr>
      </w:pPr>
      <w:r w:rsidRPr="002B0427">
        <w:rPr>
          <w:rStyle w:val="SubtleEmphasis"/>
          <w:i w:val="0"/>
          <w:iCs w:val="0"/>
          <w:color w:val="333F48"/>
        </w:rPr>
        <w:t xml:space="preserve">Reporting and Acquittals - All successful applicants will be required to complete an acquittal report on the project by </w:t>
      </w:r>
      <w:r w:rsidRPr="00F33001">
        <w:rPr>
          <w:rStyle w:val="SubtleEmphasis"/>
          <w:i w:val="0"/>
          <w:iCs w:val="0"/>
          <w:color w:val="333F48"/>
        </w:rPr>
        <w:t>11 August 202</w:t>
      </w:r>
      <w:r w:rsidR="00F33001" w:rsidRPr="00F33001">
        <w:rPr>
          <w:rStyle w:val="SubtleEmphasis"/>
          <w:i w:val="0"/>
          <w:iCs w:val="0"/>
          <w:color w:val="333F48"/>
        </w:rPr>
        <w:t>2</w:t>
      </w:r>
      <w:r w:rsidRPr="00F33001">
        <w:rPr>
          <w:rStyle w:val="SubtleEmphasis"/>
          <w:i w:val="0"/>
          <w:iCs w:val="0"/>
          <w:color w:val="333F48"/>
        </w:rPr>
        <w:t>.</w:t>
      </w:r>
    </w:p>
    <w:p w14:paraId="156548ED" w14:textId="77777777" w:rsidR="002B0427" w:rsidRPr="002B0427" w:rsidRDefault="002B0427" w:rsidP="002B0427">
      <w:pPr>
        <w:pStyle w:val="BodyText"/>
        <w:rPr>
          <w:rStyle w:val="SubtleEmphasis"/>
          <w:i w:val="0"/>
          <w:iCs w:val="0"/>
          <w:color w:val="333F48"/>
        </w:rPr>
      </w:pPr>
      <w:r w:rsidRPr="002B0427">
        <w:rPr>
          <w:rStyle w:val="SubtleEmphasis"/>
          <w:i w:val="0"/>
          <w:iCs w:val="0"/>
          <w:color w:val="333F48"/>
        </w:rPr>
        <w:t>Applicants who do not complete and return an acquittal report will be ineligible for any future applications and funding.</w:t>
      </w:r>
    </w:p>
    <w:p w14:paraId="69AB657E" w14:textId="77777777" w:rsidR="002B0427" w:rsidRPr="002B0427" w:rsidRDefault="002B0427" w:rsidP="002B0427">
      <w:pPr>
        <w:pStyle w:val="Heading"/>
        <w:rPr>
          <w:rStyle w:val="SubtleEmphasis"/>
          <w:i w:val="0"/>
          <w:iCs w:val="0"/>
          <w:color w:val="DC0094"/>
        </w:rPr>
      </w:pPr>
      <w:r w:rsidRPr="002B0427">
        <w:rPr>
          <w:rStyle w:val="SubtleEmphasis"/>
          <w:i w:val="0"/>
          <w:iCs w:val="0"/>
          <w:color w:val="DC0094"/>
        </w:rPr>
        <w:t xml:space="preserve">Promotion of City of Adelaide </w:t>
      </w:r>
    </w:p>
    <w:p w14:paraId="6F6171DB" w14:textId="77777777" w:rsidR="002B0427" w:rsidRPr="002B0427" w:rsidRDefault="002B0427" w:rsidP="00CA41D2">
      <w:pPr>
        <w:pStyle w:val="BodyText"/>
        <w:rPr>
          <w:rStyle w:val="SubtleEmphasis"/>
          <w:i w:val="0"/>
          <w:iCs w:val="0"/>
          <w:color w:val="auto"/>
        </w:rPr>
      </w:pPr>
      <w:r w:rsidRPr="002B0427">
        <w:rPr>
          <w:rStyle w:val="SubtleEmphasis"/>
          <w:i w:val="0"/>
          <w:iCs w:val="0"/>
          <w:color w:val="auto"/>
        </w:rPr>
        <w:t xml:space="preserve">Successful applicants must acknowledge City of Adelaide in promotions regarding this opportunity. </w:t>
      </w:r>
    </w:p>
    <w:p w14:paraId="0859CBA8" w14:textId="77777777" w:rsidR="002B0427" w:rsidRPr="002B0427" w:rsidRDefault="002B0427" w:rsidP="002B0427">
      <w:pPr>
        <w:pStyle w:val="Heading"/>
        <w:rPr>
          <w:rStyle w:val="SubtleEmphasis"/>
          <w:i w:val="0"/>
          <w:iCs w:val="0"/>
          <w:color w:val="DC0094"/>
        </w:rPr>
      </w:pPr>
      <w:r w:rsidRPr="002B0427">
        <w:rPr>
          <w:rStyle w:val="SubtleEmphasis"/>
          <w:i w:val="0"/>
          <w:iCs w:val="0"/>
          <w:color w:val="DC0094"/>
        </w:rPr>
        <w:t>How to apply</w:t>
      </w:r>
    </w:p>
    <w:p w14:paraId="77E6B17D" w14:textId="639708B1" w:rsidR="002B0427" w:rsidRPr="002B0427" w:rsidRDefault="002B0427" w:rsidP="00CA41D2">
      <w:pPr>
        <w:pStyle w:val="BodyText"/>
        <w:rPr>
          <w:rStyle w:val="SubtleEmphasis"/>
          <w:i w:val="0"/>
          <w:iCs w:val="0"/>
          <w:color w:val="auto"/>
        </w:rPr>
      </w:pPr>
      <w:r w:rsidRPr="002B0427">
        <w:rPr>
          <w:rStyle w:val="SubtleEmphasis"/>
          <w:i w:val="0"/>
          <w:iCs w:val="0"/>
          <w:color w:val="auto"/>
        </w:rPr>
        <w:t>All applicants are encouraged to discuss their application prior to applying with:</w:t>
      </w:r>
    </w:p>
    <w:p w14:paraId="6662D36E" w14:textId="77777777" w:rsidR="004B7F75" w:rsidRDefault="004B7F75" w:rsidP="00CA41D2">
      <w:pPr>
        <w:pStyle w:val="BodyText"/>
        <w:rPr>
          <w:rStyle w:val="SubtleEmphasis"/>
          <w:i w:val="0"/>
          <w:iCs w:val="0"/>
        </w:rPr>
      </w:pPr>
      <w:r>
        <w:rPr>
          <w:rStyle w:val="SubtleEmphasis"/>
          <w:i w:val="0"/>
          <w:iCs w:val="0"/>
        </w:rPr>
        <w:t>Elizabeth Jilbert</w:t>
      </w:r>
      <w:r w:rsidR="002B0427" w:rsidRPr="002B0427">
        <w:rPr>
          <w:rStyle w:val="SubtleEmphasis"/>
          <w:i w:val="0"/>
          <w:iCs w:val="0"/>
          <w:color w:val="auto"/>
        </w:rPr>
        <w:t xml:space="preserve"> </w:t>
      </w:r>
    </w:p>
    <w:p w14:paraId="6833F0DC" w14:textId="28FD02BC" w:rsidR="002B0427" w:rsidRDefault="002B0427" w:rsidP="00CA41D2">
      <w:pPr>
        <w:pStyle w:val="BodyText"/>
        <w:rPr>
          <w:rStyle w:val="SubtleEmphasis"/>
          <w:i w:val="0"/>
          <w:iCs w:val="0"/>
        </w:rPr>
      </w:pPr>
      <w:r w:rsidRPr="002B0427">
        <w:rPr>
          <w:rStyle w:val="SubtleEmphasis"/>
          <w:i w:val="0"/>
          <w:iCs w:val="0"/>
          <w:color w:val="auto"/>
        </w:rPr>
        <w:t>Email:</w:t>
      </w:r>
      <w:r w:rsidR="004B7F75">
        <w:rPr>
          <w:rStyle w:val="SubtleEmphasis"/>
          <w:i w:val="0"/>
          <w:iCs w:val="0"/>
        </w:rPr>
        <w:t xml:space="preserve"> </w:t>
      </w:r>
      <w:hyperlink r:id="rId15" w:history="1">
        <w:r w:rsidR="004B7F75" w:rsidRPr="00C10A3B">
          <w:rPr>
            <w:rStyle w:val="Hyperlink"/>
          </w:rPr>
          <w:t>e.jilbert@cityofadelaide.com.au</w:t>
        </w:r>
      </w:hyperlink>
      <w:r w:rsidR="004B7F75">
        <w:rPr>
          <w:rStyle w:val="SubtleEmphasis"/>
          <w:i w:val="0"/>
          <w:iCs w:val="0"/>
        </w:rPr>
        <w:t xml:space="preserve"> </w:t>
      </w:r>
    </w:p>
    <w:p w14:paraId="645C2AC1" w14:textId="4009A7BF" w:rsidR="004B7F75" w:rsidRPr="008F0EDE" w:rsidRDefault="004B7F75" w:rsidP="00CA41D2">
      <w:pPr>
        <w:pStyle w:val="BodyText"/>
        <w:rPr>
          <w:rStyle w:val="SubtleEmphasis"/>
          <w:i w:val="0"/>
          <w:iCs w:val="0"/>
          <w:color w:val="auto"/>
        </w:rPr>
      </w:pPr>
      <w:r>
        <w:rPr>
          <w:rStyle w:val="SubtleEmphasis"/>
          <w:i w:val="0"/>
          <w:iCs w:val="0"/>
        </w:rPr>
        <w:t>Phone: (08) 8203 7203</w:t>
      </w:r>
    </w:p>
    <w:p w14:paraId="3EADE536" w14:textId="77777777" w:rsidR="008F0EDE" w:rsidRDefault="008F0EDE" w:rsidP="008F0EDE">
      <w:pPr>
        <w:pStyle w:val="BodyText"/>
        <w:rPr>
          <w:rStyle w:val="SubtleEmphasis"/>
          <w:i w:val="0"/>
          <w:iCs w:val="0"/>
        </w:rPr>
      </w:pPr>
    </w:p>
    <w:p w14:paraId="665FB6F5" w14:textId="50C392BC" w:rsidR="00573780" w:rsidRPr="00E038F7" w:rsidRDefault="004B7F75" w:rsidP="00E038F7">
      <w:pPr>
        <w:pStyle w:val="BodyText"/>
        <w:rPr>
          <w:color w:val="404040" w:themeColor="text1" w:themeTint="BF"/>
        </w:rPr>
      </w:pPr>
      <w:r>
        <w:rPr>
          <w:rStyle w:val="SubtleEmphasis"/>
          <w:i w:val="0"/>
          <w:iCs w:val="0"/>
        </w:rPr>
        <w:t xml:space="preserve">All applications must be submitted online via the </w:t>
      </w:r>
      <w:proofErr w:type="spellStart"/>
      <w:r>
        <w:rPr>
          <w:rStyle w:val="SubtleEmphasis"/>
          <w:i w:val="0"/>
          <w:iCs w:val="0"/>
        </w:rPr>
        <w:t>SmartyGrants</w:t>
      </w:r>
      <w:proofErr w:type="spellEnd"/>
      <w:r>
        <w:rPr>
          <w:rStyle w:val="SubtleEmphasis"/>
          <w:i w:val="0"/>
          <w:iCs w:val="0"/>
        </w:rPr>
        <w:t xml:space="preserve"> portal.</w:t>
      </w:r>
    </w:p>
    <w:sectPr w:rsidR="00573780" w:rsidRPr="00E038F7" w:rsidSect="00BE3BBE">
      <w:footerReference w:type="even"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6DC6" w14:textId="77777777" w:rsidR="00E97C32" w:rsidRDefault="00E97C32" w:rsidP="006E560D">
      <w:pPr>
        <w:spacing w:after="0"/>
      </w:pPr>
      <w:r>
        <w:separator/>
      </w:r>
    </w:p>
  </w:endnote>
  <w:endnote w:type="continuationSeparator" w:id="0">
    <w:p w14:paraId="1C5E4DDA" w14:textId="77777777" w:rsidR="00E97C32" w:rsidRDefault="00E97C32" w:rsidP="006E5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2855"/>
        <w:sz w:val="20"/>
        <w:szCs w:val="20"/>
      </w:rPr>
      <w:id w:val="-592396665"/>
      <w:docPartObj>
        <w:docPartGallery w:val="Page Numbers (Bottom of Page)"/>
        <w:docPartUnique/>
      </w:docPartObj>
    </w:sdtPr>
    <w:sdtEndPr>
      <w:rPr>
        <w:noProof/>
      </w:rPr>
    </w:sdtEndPr>
    <w:sdtContent>
      <w:p w14:paraId="7381E06A" w14:textId="77777777" w:rsidR="004B6088" w:rsidRPr="008A3003" w:rsidRDefault="004B6088" w:rsidP="006E560D">
        <w:pPr>
          <w:pStyle w:val="Footer"/>
          <w:jc w:val="center"/>
          <w:rPr>
            <w:rFonts w:ascii="Arial" w:hAnsi="Arial" w:cs="Arial"/>
            <w:color w:val="002855"/>
            <w:sz w:val="20"/>
            <w:szCs w:val="20"/>
          </w:rPr>
        </w:pPr>
        <w:r w:rsidRPr="008A3003">
          <w:rPr>
            <w:rFonts w:ascii="Arial" w:hAnsi="Arial" w:cs="Arial"/>
            <w:color w:val="002855"/>
            <w:sz w:val="20"/>
            <w:szCs w:val="20"/>
          </w:rPr>
          <w:fldChar w:fldCharType="begin"/>
        </w:r>
        <w:r w:rsidRPr="008A3003">
          <w:rPr>
            <w:rFonts w:ascii="Arial" w:hAnsi="Arial" w:cs="Arial"/>
            <w:color w:val="002855"/>
            <w:sz w:val="20"/>
            <w:szCs w:val="20"/>
          </w:rPr>
          <w:instrText xml:space="preserve"> PAGE   \* MERGEFORMAT </w:instrText>
        </w:r>
        <w:r w:rsidRPr="008A3003">
          <w:rPr>
            <w:rFonts w:ascii="Arial" w:hAnsi="Arial" w:cs="Arial"/>
            <w:color w:val="002855"/>
            <w:sz w:val="20"/>
            <w:szCs w:val="20"/>
          </w:rPr>
          <w:fldChar w:fldCharType="separate"/>
        </w:r>
        <w:r w:rsidR="00083BC1">
          <w:rPr>
            <w:rFonts w:ascii="Arial" w:hAnsi="Arial" w:cs="Arial"/>
            <w:noProof/>
            <w:color w:val="002855"/>
            <w:sz w:val="20"/>
            <w:szCs w:val="20"/>
          </w:rPr>
          <w:t>ii</w:t>
        </w:r>
        <w:r w:rsidRPr="008A3003">
          <w:rPr>
            <w:rFonts w:ascii="Arial" w:hAnsi="Arial" w:cs="Arial"/>
            <w:noProof/>
            <w:color w:val="002855"/>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2855"/>
        <w:sz w:val="20"/>
        <w:szCs w:val="20"/>
      </w:rPr>
      <w:id w:val="1734967985"/>
      <w:docPartObj>
        <w:docPartGallery w:val="Page Numbers (Bottom of Page)"/>
        <w:docPartUnique/>
      </w:docPartObj>
    </w:sdtPr>
    <w:sdtEndPr>
      <w:rPr>
        <w:noProof/>
      </w:rPr>
    </w:sdtEndPr>
    <w:sdtContent>
      <w:p w14:paraId="4659364E" w14:textId="77777777" w:rsidR="004B6088" w:rsidRPr="008A3003" w:rsidRDefault="004B6088" w:rsidP="00C637C3">
        <w:pPr>
          <w:pStyle w:val="Footer"/>
          <w:jc w:val="center"/>
          <w:rPr>
            <w:rFonts w:ascii="Arial" w:hAnsi="Arial" w:cs="Arial"/>
            <w:color w:val="002855"/>
            <w:sz w:val="20"/>
            <w:szCs w:val="20"/>
          </w:rPr>
        </w:pPr>
        <w:r w:rsidRPr="008A3003">
          <w:rPr>
            <w:rFonts w:ascii="Arial" w:hAnsi="Arial" w:cs="Arial"/>
            <w:color w:val="002855"/>
            <w:sz w:val="20"/>
            <w:szCs w:val="20"/>
          </w:rPr>
          <w:fldChar w:fldCharType="begin"/>
        </w:r>
        <w:r w:rsidRPr="008A3003">
          <w:rPr>
            <w:rFonts w:ascii="Arial" w:hAnsi="Arial" w:cs="Arial"/>
            <w:color w:val="002855"/>
            <w:sz w:val="20"/>
            <w:szCs w:val="20"/>
          </w:rPr>
          <w:instrText xml:space="preserve"> PAGE   \* MERGEFORMAT </w:instrText>
        </w:r>
        <w:r w:rsidRPr="008A3003">
          <w:rPr>
            <w:rFonts w:ascii="Arial" w:hAnsi="Arial" w:cs="Arial"/>
            <w:color w:val="002855"/>
            <w:sz w:val="20"/>
            <w:szCs w:val="20"/>
          </w:rPr>
          <w:fldChar w:fldCharType="separate"/>
        </w:r>
        <w:r w:rsidR="00083BC1">
          <w:rPr>
            <w:rFonts w:ascii="Arial" w:hAnsi="Arial" w:cs="Arial"/>
            <w:noProof/>
            <w:color w:val="002855"/>
            <w:sz w:val="20"/>
            <w:szCs w:val="20"/>
          </w:rPr>
          <w:t>2</w:t>
        </w:r>
        <w:r w:rsidRPr="008A3003">
          <w:rPr>
            <w:rFonts w:ascii="Arial" w:hAnsi="Arial" w:cs="Arial"/>
            <w:noProof/>
            <w:color w:val="002855"/>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2855"/>
        <w:sz w:val="20"/>
        <w:szCs w:val="20"/>
      </w:rPr>
      <w:id w:val="517283606"/>
      <w:docPartObj>
        <w:docPartGallery w:val="Page Numbers (Bottom of Page)"/>
        <w:docPartUnique/>
      </w:docPartObj>
    </w:sdtPr>
    <w:sdtEndPr>
      <w:rPr>
        <w:noProof/>
      </w:rPr>
    </w:sdtEndPr>
    <w:sdtContent>
      <w:p w14:paraId="7B34EE93" w14:textId="77777777" w:rsidR="004B6088" w:rsidRPr="008A3003" w:rsidRDefault="004B6088" w:rsidP="00C637C3">
        <w:pPr>
          <w:pStyle w:val="Footer"/>
          <w:jc w:val="center"/>
          <w:rPr>
            <w:rFonts w:ascii="Arial" w:hAnsi="Arial" w:cs="Arial"/>
            <w:color w:val="002855"/>
            <w:sz w:val="20"/>
            <w:szCs w:val="20"/>
          </w:rPr>
        </w:pPr>
        <w:r w:rsidRPr="008A3003">
          <w:rPr>
            <w:rFonts w:ascii="Arial" w:hAnsi="Arial" w:cs="Arial"/>
            <w:color w:val="002855"/>
            <w:sz w:val="20"/>
            <w:szCs w:val="20"/>
          </w:rPr>
          <w:fldChar w:fldCharType="begin"/>
        </w:r>
        <w:r w:rsidRPr="008A3003">
          <w:rPr>
            <w:rFonts w:ascii="Arial" w:hAnsi="Arial" w:cs="Arial"/>
            <w:color w:val="002855"/>
            <w:sz w:val="20"/>
            <w:szCs w:val="20"/>
          </w:rPr>
          <w:instrText xml:space="preserve"> PAGE   \* MERGEFORMAT </w:instrText>
        </w:r>
        <w:r w:rsidRPr="008A3003">
          <w:rPr>
            <w:rFonts w:ascii="Arial" w:hAnsi="Arial" w:cs="Arial"/>
            <w:color w:val="002855"/>
            <w:sz w:val="20"/>
            <w:szCs w:val="20"/>
          </w:rPr>
          <w:fldChar w:fldCharType="separate"/>
        </w:r>
        <w:r w:rsidR="00083BC1">
          <w:rPr>
            <w:rFonts w:ascii="Arial" w:hAnsi="Arial" w:cs="Arial"/>
            <w:noProof/>
            <w:color w:val="002855"/>
            <w:sz w:val="20"/>
            <w:szCs w:val="20"/>
          </w:rPr>
          <w:t>3</w:t>
        </w:r>
        <w:r w:rsidRPr="008A3003">
          <w:rPr>
            <w:rFonts w:ascii="Arial" w:hAnsi="Arial" w:cs="Arial"/>
            <w:noProof/>
            <w:color w:val="002855"/>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271E" w14:textId="77777777" w:rsidR="00E97C32" w:rsidRDefault="00E97C32" w:rsidP="006E560D">
      <w:pPr>
        <w:spacing w:after="0"/>
      </w:pPr>
      <w:r>
        <w:separator/>
      </w:r>
    </w:p>
  </w:footnote>
  <w:footnote w:type="continuationSeparator" w:id="0">
    <w:p w14:paraId="74A9BD42" w14:textId="77777777" w:rsidR="00E97C32" w:rsidRDefault="00E97C32" w:rsidP="006E56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0595" w14:textId="0C784558" w:rsidR="00C14AD1" w:rsidRPr="008A3003" w:rsidRDefault="00C14AD1" w:rsidP="00C14AD1">
    <w:pPr>
      <w:pStyle w:val="Header"/>
      <w:jc w:val="right"/>
      <w:rPr>
        <w:rFonts w:ascii="Arial" w:hAnsi="Arial" w:cs="Arial"/>
        <w:color w:val="002855"/>
        <w:sz w:val="20"/>
      </w:rPr>
    </w:pPr>
    <w:r w:rsidRPr="008A3003">
      <w:rPr>
        <w:rFonts w:ascii="Arial" w:hAnsi="Arial" w:cs="Arial"/>
        <w:color w:val="002855"/>
        <w:sz w:val="20"/>
      </w:rPr>
      <w:fldChar w:fldCharType="begin"/>
    </w:r>
    <w:r w:rsidRPr="008A3003">
      <w:rPr>
        <w:rFonts w:ascii="Arial" w:hAnsi="Arial" w:cs="Arial"/>
        <w:color w:val="002855"/>
        <w:sz w:val="20"/>
      </w:rPr>
      <w:instrText xml:space="preserve"> STYLEREF  "Report Sub Title"  \* MERGEFORMAT </w:instrText>
    </w:r>
    <w:r w:rsidRPr="008A3003">
      <w:rPr>
        <w:rFonts w:ascii="Arial" w:hAnsi="Arial" w:cs="Arial"/>
        <w:color w:val="002855"/>
        <w:sz w:val="20"/>
      </w:rPr>
      <w:fldChar w:fldCharType="separate"/>
    </w:r>
    <w:r w:rsidR="00070464">
      <w:rPr>
        <w:rFonts w:ascii="Arial" w:hAnsi="Arial" w:cs="Arial"/>
        <w:noProof/>
        <w:color w:val="002855"/>
        <w:sz w:val="20"/>
      </w:rPr>
      <w:t>Guidelines</w:t>
    </w:r>
    <w:r w:rsidRPr="008A3003">
      <w:rPr>
        <w:rFonts w:ascii="Arial" w:hAnsi="Arial" w:cs="Arial"/>
        <w:color w:val="002855"/>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373F" w14:textId="624C4449" w:rsidR="004B6088" w:rsidRPr="008A3003" w:rsidRDefault="00E97C32">
    <w:pPr>
      <w:pStyle w:val="Header"/>
      <w:rPr>
        <w:rFonts w:ascii="Arial" w:hAnsi="Arial" w:cs="Arial"/>
        <w:b/>
        <w:color w:val="002855"/>
        <w:sz w:val="20"/>
      </w:rPr>
    </w:pPr>
    <w:r>
      <w:rPr>
        <w:rFonts w:ascii="Arial" w:hAnsi="Arial" w:cs="Arial"/>
        <w:b/>
        <w:color w:val="002855"/>
        <w:sz w:val="20"/>
      </w:rPr>
      <w:t>Event Infrastructure Incentive Scheme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DBD2" w14:textId="77777777" w:rsidR="00083BC1" w:rsidRDefault="002254DB">
    <w:pPr>
      <w:pStyle w:val="Header"/>
    </w:pPr>
    <w:r>
      <w:rPr>
        <w:noProof/>
      </w:rPr>
      <w:drawing>
        <wp:anchor distT="0" distB="0" distL="114300" distR="114300" simplePos="0" relativeHeight="251662336" behindDoc="1" locked="0" layoutInCell="1" allowOverlap="1" wp14:anchorId="6F37601D" wp14:editId="3A6F1A9E">
          <wp:simplePos x="0" y="0"/>
          <wp:positionH relativeFrom="page">
            <wp:align>right</wp:align>
          </wp:positionH>
          <wp:positionV relativeFrom="page">
            <wp:align>bottom</wp:align>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C18-046 Report templates_Yellow_cover.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B78"/>
    <w:multiLevelType w:val="multilevel"/>
    <w:tmpl w:val="B91C077E"/>
    <w:numStyleLink w:val="NumberingListStyle"/>
  </w:abstractNum>
  <w:abstractNum w:abstractNumId="1" w15:restartNumberingAfterBreak="0">
    <w:nsid w:val="15227E48"/>
    <w:multiLevelType w:val="multilevel"/>
    <w:tmpl w:val="B91C077E"/>
    <w:numStyleLink w:val="NumberingListStyle"/>
  </w:abstractNum>
  <w:abstractNum w:abstractNumId="2" w15:restartNumberingAfterBreak="0">
    <w:nsid w:val="2CB442D1"/>
    <w:multiLevelType w:val="multilevel"/>
    <w:tmpl w:val="B91C077E"/>
    <w:styleLink w:val="NumberingListStyle"/>
    <w:lvl w:ilvl="0">
      <w:start w:val="1"/>
      <w:numFmt w:val="decimal"/>
      <w:lvlText w:val="%1."/>
      <w:lvlJc w:val="left"/>
      <w:pPr>
        <w:ind w:left="567" w:hanging="567"/>
      </w:pPr>
      <w:rPr>
        <w:rFonts w:ascii="Segoe UI" w:hAnsi="Segoe UI" w:hint="default"/>
        <w:b/>
        <w:caps/>
        <w:smallCaps w:val="0"/>
        <w:strike w:val="0"/>
        <w:dstrike w:val="0"/>
        <w:vanish w:val="0"/>
        <w:color w:val="002855"/>
        <w:sz w:val="32"/>
        <w:u w:val="none"/>
        <w:vertAlign w:val="baseline"/>
      </w:rPr>
    </w:lvl>
    <w:lvl w:ilvl="1">
      <w:start w:val="1"/>
      <w:numFmt w:val="decimal"/>
      <w:lvlText w:val="%1.%2"/>
      <w:lvlJc w:val="left"/>
      <w:pPr>
        <w:ind w:left="567" w:hanging="567"/>
      </w:pPr>
      <w:rPr>
        <w:rFonts w:ascii="Segoe UI" w:hAnsi="Segoe UI" w:hint="default"/>
        <w:color w:val="41B6E6"/>
        <w:sz w:val="26"/>
      </w:rPr>
    </w:lvl>
    <w:lvl w:ilvl="2">
      <w:start w:val="1"/>
      <w:numFmt w:val="decimal"/>
      <w:pStyle w:val="NumberedSubHeading2"/>
      <w:lvlText w:val="%1.%2.%3"/>
      <w:lvlJc w:val="left"/>
      <w:pPr>
        <w:ind w:left="851" w:hanging="851"/>
      </w:pPr>
      <w:rPr>
        <w:rFonts w:ascii="Segoe UI" w:hAnsi="Segoe UI" w:hint="default"/>
        <w:color w:val="333F48"/>
        <w:sz w:val="24"/>
      </w:rPr>
    </w:lvl>
    <w:lvl w:ilvl="3">
      <w:start w:val="1"/>
      <w:numFmt w:val="lowerLetter"/>
      <w:lvlText w:val="%4)"/>
      <w:lvlJc w:val="left"/>
      <w:pPr>
        <w:ind w:left="851" w:hanging="851"/>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 w15:restartNumberingAfterBreak="0">
    <w:nsid w:val="39F52E02"/>
    <w:multiLevelType w:val="hybridMultilevel"/>
    <w:tmpl w:val="91C24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95553B"/>
    <w:multiLevelType w:val="hybridMultilevel"/>
    <w:tmpl w:val="25E2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E76133"/>
    <w:multiLevelType w:val="hybridMultilevel"/>
    <w:tmpl w:val="4E64E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5E4D28"/>
    <w:multiLevelType w:val="hybridMultilevel"/>
    <w:tmpl w:val="C1BE1B6E"/>
    <w:lvl w:ilvl="0" w:tplc="9112FFB4">
      <w:start w:val="1"/>
      <w:numFmt w:val="bullet"/>
      <w:lvlText w:val=""/>
      <w:lvlJc w:val="left"/>
      <w:pPr>
        <w:ind w:left="567" w:hanging="567"/>
      </w:pPr>
      <w:rPr>
        <w:rFonts w:ascii="Symbol" w:hAnsi="Symbol" w:hint="default"/>
      </w:rPr>
    </w:lvl>
    <w:lvl w:ilvl="1" w:tplc="2E806330">
      <w:start w:val="1"/>
      <w:numFmt w:val="bullet"/>
      <w:lvlText w:val="o"/>
      <w:lvlJc w:val="left"/>
      <w:pPr>
        <w:ind w:left="1134" w:hanging="56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2925BD"/>
    <w:multiLevelType w:val="hybridMultilevel"/>
    <w:tmpl w:val="C1D4826A"/>
    <w:lvl w:ilvl="0" w:tplc="9112FFB4">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A376C"/>
    <w:multiLevelType w:val="multilevel"/>
    <w:tmpl w:val="B91C077E"/>
    <w:numStyleLink w:val="NumberingListStyle"/>
  </w:abstractNum>
  <w:abstractNum w:abstractNumId="9" w15:restartNumberingAfterBreak="0">
    <w:nsid w:val="64BB2995"/>
    <w:multiLevelType w:val="hybridMultilevel"/>
    <w:tmpl w:val="07824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0B6519"/>
    <w:multiLevelType w:val="multilevel"/>
    <w:tmpl w:val="B91C077E"/>
    <w:numStyleLink w:val="NumberingListStyle"/>
  </w:abstractNum>
  <w:abstractNum w:abstractNumId="11" w15:restartNumberingAfterBreak="0">
    <w:nsid w:val="77303DA8"/>
    <w:multiLevelType w:val="hybridMultilevel"/>
    <w:tmpl w:val="39700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10"/>
    <w:lvlOverride w:ilvl="0">
      <w:lvl w:ilvl="0">
        <w:start w:val="1"/>
        <w:numFmt w:val="decimal"/>
        <w:lvlText w:val="%1."/>
        <w:lvlJc w:val="left"/>
        <w:pPr>
          <w:ind w:left="567" w:hanging="567"/>
        </w:pPr>
        <w:rPr>
          <w:rFonts w:ascii="Segoe UI" w:hAnsi="Segoe UI" w:hint="default"/>
          <w:b/>
          <w:caps/>
          <w:smallCaps w:val="0"/>
          <w:strike w:val="0"/>
          <w:dstrike w:val="0"/>
          <w:vanish w:val="0"/>
          <w:color w:val="A4343A"/>
          <w:sz w:val="32"/>
          <w:u w:val="none"/>
          <w:vertAlign w:val="baseline"/>
        </w:rPr>
      </w:lvl>
    </w:lvlOverride>
    <w:lvlOverride w:ilvl="1">
      <w:lvl w:ilvl="1">
        <w:start w:val="1"/>
        <w:numFmt w:val="decimal"/>
        <w:lvlText w:val="%1.%2"/>
        <w:lvlJc w:val="left"/>
        <w:pPr>
          <w:ind w:left="567" w:hanging="567"/>
        </w:pPr>
        <w:rPr>
          <w:rFonts w:ascii="Segoe UI" w:hAnsi="Segoe UI" w:hint="default"/>
          <w:color w:val="C8102E"/>
          <w:sz w:val="26"/>
        </w:rPr>
      </w:lvl>
    </w:lvlOverride>
  </w:num>
  <w:num w:numId="6">
    <w:abstractNumId w:val="5"/>
  </w:num>
  <w:num w:numId="7">
    <w:abstractNumId w:val="7"/>
  </w:num>
  <w:num w:numId="8">
    <w:abstractNumId w:val="6"/>
  </w:num>
  <w:num w:numId="9">
    <w:abstractNumId w:val="1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32"/>
    <w:rsid w:val="00007332"/>
    <w:rsid w:val="000302E2"/>
    <w:rsid w:val="00034F6C"/>
    <w:rsid w:val="00070464"/>
    <w:rsid w:val="00083BC1"/>
    <w:rsid w:val="000D3575"/>
    <w:rsid w:val="00136297"/>
    <w:rsid w:val="0016342F"/>
    <w:rsid w:val="00184934"/>
    <w:rsid w:val="001D362F"/>
    <w:rsid w:val="002254DB"/>
    <w:rsid w:val="00291810"/>
    <w:rsid w:val="002B0427"/>
    <w:rsid w:val="002F307C"/>
    <w:rsid w:val="002F36B5"/>
    <w:rsid w:val="003449BD"/>
    <w:rsid w:val="00362A5A"/>
    <w:rsid w:val="00457136"/>
    <w:rsid w:val="00495EC3"/>
    <w:rsid w:val="004960E6"/>
    <w:rsid w:val="004B6088"/>
    <w:rsid w:val="004B7F75"/>
    <w:rsid w:val="0051384C"/>
    <w:rsid w:val="00536BA0"/>
    <w:rsid w:val="00573780"/>
    <w:rsid w:val="005B24CA"/>
    <w:rsid w:val="005B586A"/>
    <w:rsid w:val="005D56BC"/>
    <w:rsid w:val="005E5E13"/>
    <w:rsid w:val="005F2E83"/>
    <w:rsid w:val="00600143"/>
    <w:rsid w:val="00603D33"/>
    <w:rsid w:val="006D42B1"/>
    <w:rsid w:val="006E560D"/>
    <w:rsid w:val="007526BC"/>
    <w:rsid w:val="00811912"/>
    <w:rsid w:val="00896D3E"/>
    <w:rsid w:val="008A3003"/>
    <w:rsid w:val="008A5037"/>
    <w:rsid w:val="008B5F5F"/>
    <w:rsid w:val="008B6C62"/>
    <w:rsid w:val="008F0EDE"/>
    <w:rsid w:val="009C74A3"/>
    <w:rsid w:val="00A46E3A"/>
    <w:rsid w:val="00AE52CB"/>
    <w:rsid w:val="00B4237D"/>
    <w:rsid w:val="00B66E31"/>
    <w:rsid w:val="00BA5C40"/>
    <w:rsid w:val="00BE3BBE"/>
    <w:rsid w:val="00C14AD1"/>
    <w:rsid w:val="00C21495"/>
    <w:rsid w:val="00C637C3"/>
    <w:rsid w:val="00C74C0A"/>
    <w:rsid w:val="00CA41D2"/>
    <w:rsid w:val="00CA5497"/>
    <w:rsid w:val="00CE2C56"/>
    <w:rsid w:val="00D37D23"/>
    <w:rsid w:val="00D71816"/>
    <w:rsid w:val="00DA41BD"/>
    <w:rsid w:val="00DC007F"/>
    <w:rsid w:val="00E038F7"/>
    <w:rsid w:val="00E9360F"/>
    <w:rsid w:val="00E97C32"/>
    <w:rsid w:val="00F33001"/>
    <w:rsid w:val="00F62FFB"/>
    <w:rsid w:val="00F776A9"/>
    <w:rsid w:val="00F83EBA"/>
    <w:rsid w:val="00FC2EB9"/>
    <w:rsid w:val="3BCE8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F3A18"/>
  <w15:chartTrackingRefBased/>
  <w15:docId w15:val="{2E97FEE3-4D70-4E7D-8D4A-9BC5858A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810"/>
  </w:style>
  <w:style w:type="paragraph" w:styleId="Heading1">
    <w:name w:val="heading 1"/>
    <w:basedOn w:val="Normal"/>
    <w:next w:val="Normal"/>
    <w:link w:val="Heading1Char"/>
    <w:uiPriority w:val="9"/>
    <w:rsid w:val="00603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B5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5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C74C0A"/>
    <w:pPr>
      <w:keepNext/>
      <w:keepLines/>
      <w:spacing w:before="240"/>
      <w:outlineLvl w:val="0"/>
    </w:pPr>
    <w:rPr>
      <w:rFonts w:ascii="Arial" w:hAnsi="Arial"/>
      <w:b/>
      <w:caps/>
      <w:color w:val="DC0094"/>
      <w:sz w:val="32"/>
    </w:rPr>
  </w:style>
  <w:style w:type="paragraph" w:customStyle="1" w:styleId="SubHeading">
    <w:name w:val="Sub Heading"/>
    <w:basedOn w:val="Normal"/>
    <w:qFormat/>
    <w:rsid w:val="00C74C0A"/>
    <w:pPr>
      <w:keepNext/>
      <w:keepLines/>
      <w:outlineLvl w:val="1"/>
    </w:pPr>
    <w:rPr>
      <w:rFonts w:ascii="Arial" w:hAnsi="Arial"/>
      <w:b/>
      <w:color w:val="000000" w:themeColor="text1"/>
      <w:sz w:val="26"/>
      <w:szCs w:val="26"/>
    </w:rPr>
  </w:style>
  <w:style w:type="character" w:customStyle="1" w:styleId="Heading1Char">
    <w:name w:val="Heading 1 Char"/>
    <w:basedOn w:val="DefaultParagraphFont"/>
    <w:link w:val="Heading1"/>
    <w:uiPriority w:val="9"/>
    <w:rsid w:val="00603D33"/>
    <w:rPr>
      <w:rFonts w:asciiTheme="majorHAnsi" w:eastAsiaTheme="majorEastAsia" w:hAnsiTheme="majorHAnsi" w:cstheme="majorBidi"/>
      <w:color w:val="2F5496" w:themeColor="accent1" w:themeShade="BF"/>
      <w:sz w:val="32"/>
      <w:szCs w:val="32"/>
    </w:rPr>
  </w:style>
  <w:style w:type="paragraph" w:customStyle="1" w:styleId="NumberedHeading">
    <w:name w:val="Numbered Heading"/>
    <w:basedOn w:val="BodyText"/>
    <w:qFormat/>
    <w:rsid w:val="00136297"/>
    <w:rPr>
      <w:color w:val="DC0094"/>
    </w:rPr>
  </w:style>
  <w:style w:type="paragraph" w:customStyle="1" w:styleId="NumberedSubHeading">
    <w:name w:val="Numbered Sub Heading"/>
    <w:basedOn w:val="NumberedHeading"/>
    <w:qFormat/>
    <w:rsid w:val="00136297"/>
  </w:style>
  <w:style w:type="paragraph" w:customStyle="1" w:styleId="BodyText">
    <w:name w:val="BodyText"/>
    <w:basedOn w:val="Normal"/>
    <w:link w:val="BodyTextChar"/>
    <w:qFormat/>
    <w:rsid w:val="008A3003"/>
    <w:rPr>
      <w:rFonts w:ascii="Arial" w:hAnsi="Arial"/>
      <w:color w:val="333F48"/>
    </w:rPr>
  </w:style>
  <w:style w:type="numbering" w:customStyle="1" w:styleId="NumberingListStyle">
    <w:name w:val="NumberingListStyle"/>
    <w:uiPriority w:val="99"/>
    <w:rsid w:val="00457136"/>
    <w:pPr>
      <w:numPr>
        <w:numId w:val="1"/>
      </w:numPr>
    </w:pPr>
  </w:style>
  <w:style w:type="paragraph" w:customStyle="1" w:styleId="NumberedSubHeading2">
    <w:name w:val="Numbered Sub Heading 2"/>
    <w:basedOn w:val="Normal"/>
    <w:qFormat/>
    <w:rsid w:val="008A3003"/>
    <w:pPr>
      <w:keepLines/>
      <w:numPr>
        <w:ilvl w:val="2"/>
        <w:numId w:val="5"/>
      </w:numPr>
      <w:spacing w:before="120"/>
    </w:pPr>
    <w:rPr>
      <w:rFonts w:ascii="Arial" w:hAnsi="Arial"/>
      <w:color w:val="333F48"/>
      <w:sz w:val="24"/>
    </w:rPr>
  </w:style>
  <w:style w:type="table" w:styleId="TableGrid">
    <w:name w:val="Table Grid"/>
    <w:basedOn w:val="TableNormal"/>
    <w:uiPriority w:val="39"/>
    <w:rsid w:val="00DA41BD"/>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B58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B586A"/>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8A3003"/>
    <w:pPr>
      <w:spacing w:before="120"/>
      <w:jc w:val="center"/>
    </w:pPr>
    <w:rPr>
      <w:rFonts w:ascii="Arial" w:eastAsia="Arial" w:hAnsi="Arial" w:cs="Times New Roman"/>
      <w:i/>
      <w:iCs/>
      <w:color w:val="333F48"/>
      <w:sz w:val="18"/>
      <w:szCs w:val="18"/>
    </w:rPr>
  </w:style>
  <w:style w:type="paragraph" w:styleId="TOC1">
    <w:name w:val="toc 1"/>
    <w:basedOn w:val="Normal"/>
    <w:next w:val="Normal"/>
    <w:autoRedefine/>
    <w:uiPriority w:val="39"/>
    <w:unhideWhenUsed/>
    <w:rsid w:val="00E9360F"/>
    <w:pPr>
      <w:spacing w:after="0"/>
    </w:pPr>
    <w:rPr>
      <w:color w:val="333F48"/>
    </w:rPr>
  </w:style>
  <w:style w:type="paragraph" w:styleId="TOC2">
    <w:name w:val="toc 2"/>
    <w:basedOn w:val="Normal"/>
    <w:next w:val="Normal"/>
    <w:autoRedefine/>
    <w:uiPriority w:val="39"/>
    <w:unhideWhenUsed/>
    <w:rsid w:val="005B586A"/>
    <w:pPr>
      <w:spacing w:after="0"/>
    </w:pPr>
    <w:rPr>
      <w:color w:val="333F48"/>
    </w:rPr>
  </w:style>
  <w:style w:type="paragraph" w:styleId="TOC3">
    <w:name w:val="toc 3"/>
    <w:basedOn w:val="Normal"/>
    <w:next w:val="Normal"/>
    <w:autoRedefine/>
    <w:uiPriority w:val="39"/>
    <w:unhideWhenUsed/>
    <w:rsid w:val="005B586A"/>
    <w:pPr>
      <w:spacing w:after="0"/>
      <w:ind w:left="567"/>
    </w:pPr>
    <w:rPr>
      <w:color w:val="333F48"/>
    </w:rPr>
  </w:style>
  <w:style w:type="paragraph" w:styleId="Header">
    <w:name w:val="header"/>
    <w:basedOn w:val="Normal"/>
    <w:link w:val="HeaderChar"/>
    <w:uiPriority w:val="99"/>
    <w:unhideWhenUsed/>
    <w:rsid w:val="006E560D"/>
    <w:pPr>
      <w:tabs>
        <w:tab w:val="center" w:pos="4513"/>
        <w:tab w:val="right" w:pos="9026"/>
      </w:tabs>
      <w:spacing w:after="0"/>
    </w:pPr>
  </w:style>
  <w:style w:type="character" w:customStyle="1" w:styleId="HeaderChar">
    <w:name w:val="Header Char"/>
    <w:basedOn w:val="DefaultParagraphFont"/>
    <w:link w:val="Header"/>
    <w:uiPriority w:val="99"/>
    <w:rsid w:val="006E560D"/>
  </w:style>
  <w:style w:type="paragraph" w:styleId="Footer">
    <w:name w:val="footer"/>
    <w:basedOn w:val="Normal"/>
    <w:link w:val="FooterChar"/>
    <w:uiPriority w:val="99"/>
    <w:unhideWhenUsed/>
    <w:rsid w:val="006E560D"/>
    <w:pPr>
      <w:tabs>
        <w:tab w:val="center" w:pos="4513"/>
        <w:tab w:val="right" w:pos="9026"/>
      </w:tabs>
      <w:spacing w:after="0"/>
    </w:pPr>
  </w:style>
  <w:style w:type="character" w:customStyle="1" w:styleId="FooterChar">
    <w:name w:val="Footer Char"/>
    <w:basedOn w:val="DefaultParagraphFont"/>
    <w:link w:val="Footer"/>
    <w:uiPriority w:val="99"/>
    <w:rsid w:val="006E560D"/>
  </w:style>
  <w:style w:type="paragraph" w:customStyle="1" w:styleId="ReportTitle">
    <w:name w:val="Report Title"/>
    <w:basedOn w:val="BodyText"/>
    <w:link w:val="ReportTitleChar"/>
    <w:qFormat/>
    <w:rsid w:val="00083BC1"/>
    <w:pPr>
      <w:spacing w:before="4560" w:after="240"/>
    </w:pPr>
    <w:rPr>
      <w:caps/>
      <w:color w:val="FFFFFF" w:themeColor="background1"/>
      <w:sz w:val="56"/>
      <w:szCs w:val="56"/>
    </w:rPr>
  </w:style>
  <w:style w:type="paragraph" w:customStyle="1" w:styleId="ReportSubTitle">
    <w:name w:val="Report Sub Title"/>
    <w:basedOn w:val="BodyText"/>
    <w:link w:val="ReportSubTitleChar"/>
    <w:qFormat/>
    <w:rsid w:val="00083BC1"/>
    <w:pPr>
      <w:spacing w:after="480"/>
    </w:pPr>
    <w:rPr>
      <w:color w:val="FFFFFF" w:themeColor="background1"/>
      <w:sz w:val="26"/>
      <w:szCs w:val="26"/>
    </w:rPr>
  </w:style>
  <w:style w:type="character" w:customStyle="1" w:styleId="BodyTextChar">
    <w:name w:val="BodyText Char"/>
    <w:basedOn w:val="DefaultParagraphFont"/>
    <w:link w:val="BodyText"/>
    <w:rsid w:val="008A3003"/>
    <w:rPr>
      <w:rFonts w:ascii="Arial" w:hAnsi="Arial"/>
      <w:color w:val="333F48"/>
    </w:rPr>
  </w:style>
  <w:style w:type="character" w:customStyle="1" w:styleId="ReportTitleChar">
    <w:name w:val="Report Title Char"/>
    <w:basedOn w:val="BodyTextChar"/>
    <w:link w:val="ReportTitle"/>
    <w:rsid w:val="00083BC1"/>
    <w:rPr>
      <w:rFonts w:ascii="Arial" w:hAnsi="Arial"/>
      <w:caps/>
      <w:color w:val="FFFFFF" w:themeColor="background1"/>
      <w:sz w:val="56"/>
      <w:szCs w:val="56"/>
    </w:rPr>
  </w:style>
  <w:style w:type="character" w:customStyle="1" w:styleId="ReportSubTitleChar">
    <w:name w:val="Report Sub Title Char"/>
    <w:basedOn w:val="BodyTextChar"/>
    <w:link w:val="ReportSubTitle"/>
    <w:rsid w:val="00083BC1"/>
    <w:rPr>
      <w:rFonts w:ascii="Arial" w:hAnsi="Arial"/>
      <w:color w:val="FFFFFF" w:themeColor="background1"/>
      <w:sz w:val="26"/>
      <w:szCs w:val="26"/>
    </w:rPr>
  </w:style>
  <w:style w:type="paragraph" w:styleId="BalloonText">
    <w:name w:val="Balloon Text"/>
    <w:basedOn w:val="Normal"/>
    <w:link w:val="BalloonTextChar"/>
    <w:uiPriority w:val="99"/>
    <w:semiHidden/>
    <w:unhideWhenUsed/>
    <w:rsid w:val="00DA41BD"/>
    <w:pPr>
      <w:spacing w:after="0"/>
    </w:pPr>
    <w:rPr>
      <w:rFonts w:cs="Segoe UI"/>
      <w:sz w:val="18"/>
      <w:szCs w:val="18"/>
    </w:rPr>
  </w:style>
  <w:style w:type="character" w:customStyle="1" w:styleId="BalloonTextChar">
    <w:name w:val="Balloon Text Char"/>
    <w:basedOn w:val="DefaultParagraphFont"/>
    <w:link w:val="BalloonText"/>
    <w:uiPriority w:val="99"/>
    <w:semiHidden/>
    <w:rsid w:val="00DA41BD"/>
    <w:rPr>
      <w:rFonts w:cs="Segoe UI"/>
      <w:sz w:val="18"/>
      <w:szCs w:val="18"/>
    </w:rPr>
  </w:style>
  <w:style w:type="character" w:styleId="SubtleEmphasis">
    <w:name w:val="Subtle Emphasis"/>
    <w:basedOn w:val="DefaultParagraphFont"/>
    <w:uiPriority w:val="19"/>
    <w:qFormat/>
    <w:rsid w:val="002B0427"/>
    <w:rPr>
      <w:i/>
      <w:iCs/>
      <w:color w:val="404040" w:themeColor="text1" w:themeTint="BF"/>
    </w:rPr>
  </w:style>
  <w:style w:type="character" w:styleId="Hyperlink">
    <w:name w:val="Hyperlink"/>
    <w:basedOn w:val="DefaultParagraphFont"/>
    <w:uiPriority w:val="99"/>
    <w:unhideWhenUsed/>
    <w:rsid w:val="002B0427"/>
    <w:rPr>
      <w:color w:val="0563C1" w:themeColor="hyperlink"/>
      <w:u w:val="single"/>
    </w:rPr>
  </w:style>
  <w:style w:type="paragraph" w:styleId="ListParagraph">
    <w:name w:val="List Paragraph"/>
    <w:basedOn w:val="Normal"/>
    <w:uiPriority w:val="34"/>
    <w:rsid w:val="002B0427"/>
    <w:pPr>
      <w:ind w:left="720"/>
      <w:contextualSpacing/>
    </w:pPr>
  </w:style>
  <w:style w:type="character" w:styleId="UnresolvedMention">
    <w:name w:val="Unresolved Mention"/>
    <w:basedOn w:val="DefaultParagraphFont"/>
    <w:uiPriority w:val="99"/>
    <w:semiHidden/>
    <w:unhideWhenUsed/>
    <w:rsid w:val="004B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jilbert@cityofadelaide.com.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ccfp01\apps\Templates\Report%20Template%20-%20Pink%20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11" ma:contentTypeDescription="Create a new document." ma:contentTypeScope="" ma:versionID="00e3dccf158b5500000882f8455af5ae">
  <xsd:schema xmlns:xsd="http://www.w3.org/2001/XMLSchema" xmlns:xs="http://www.w3.org/2001/XMLSchema" xmlns:p="http://schemas.microsoft.com/office/2006/metadata/properties" xmlns:ns2="7d7a42e1-393c-48ae-a90e-e708e5b4545e" xmlns:ns3="c66a77b0-1365-4a23-bfa1-53a051dce7f7" targetNamespace="http://schemas.microsoft.com/office/2006/metadata/properties" ma:root="true" ma:fieldsID="4c6518597579278518fc3365a56b245e" ns2:_="" ns3:_="">
    <xsd:import namespace="7d7a42e1-393c-48ae-a90e-e708e5b4545e"/>
    <xsd:import namespace="c66a77b0-1365-4a23-bfa1-53a051dce7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a42e1-393c-48ae-a90e-e708e5b45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a77b0-1365-4a23-bfa1-53a051dce7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55E0A-00EA-48B7-8264-773B8A3CBAB4}">
  <ds:schemaRefs>
    <ds:schemaRef ds:uri="http://schemas.openxmlformats.org/officeDocument/2006/bibliography"/>
  </ds:schemaRefs>
</ds:datastoreItem>
</file>

<file path=customXml/itemProps2.xml><?xml version="1.0" encoding="utf-8"?>
<ds:datastoreItem xmlns:ds="http://schemas.openxmlformats.org/officeDocument/2006/customXml" ds:itemID="{E63FD399-C21A-463A-83DF-00645E09F2CB}">
  <ds:schemaRefs>
    <ds:schemaRef ds:uri="http://schemas.microsoft.com/sharepoint/v3/contenttype/forms"/>
  </ds:schemaRefs>
</ds:datastoreItem>
</file>

<file path=customXml/itemProps3.xml><?xml version="1.0" encoding="utf-8"?>
<ds:datastoreItem xmlns:ds="http://schemas.openxmlformats.org/officeDocument/2006/customXml" ds:itemID="{FAB27DB2-C596-4922-B120-9119E2364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a42e1-393c-48ae-a90e-e708e5b4545e"/>
    <ds:schemaRef ds:uri="c66a77b0-1365-4a23-bfa1-53a051dce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3BBD1-5882-4BA2-BF04-A47F57D9D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 Template - Pink Cover 1.dotx</Template>
  <TotalTime>1</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Jilbert</dc:creator>
  <cp:keywords/>
  <dc:description/>
  <cp:lastModifiedBy>Elizabeth Jilbert</cp:lastModifiedBy>
  <cp:revision>2</cp:revision>
  <dcterms:created xsi:type="dcterms:W3CDTF">2021-11-24T22:52:00Z</dcterms:created>
  <dcterms:modified xsi:type="dcterms:W3CDTF">2021-11-24T22:52:00Z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