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CE6F" w14:textId="22CD02ED" w:rsidR="001C5E99" w:rsidRPr="001158A5" w:rsidRDefault="00A872C1" w:rsidP="00570DF1">
      <w:pPr>
        <w:pStyle w:val="Title"/>
        <w:jc w:val="center"/>
        <w:rPr>
          <w:color w:val="auto"/>
        </w:rPr>
      </w:pPr>
      <w:r w:rsidRPr="001158A5">
        <w:rPr>
          <w:color w:val="auto"/>
        </w:rPr>
        <w:t xml:space="preserve">Clause </w:t>
      </w:r>
      <w:r w:rsidR="00BF7EE7" w:rsidRPr="001158A5">
        <w:rPr>
          <w:color w:val="auto"/>
        </w:rPr>
        <w:t>Guide</w:t>
      </w:r>
      <w:r w:rsidRPr="001158A5">
        <w:rPr>
          <w:color w:val="auto"/>
        </w:rPr>
        <w:t xml:space="preserve"> for Stallholders</w:t>
      </w:r>
      <w:r w:rsidR="001158A5" w:rsidRPr="001158A5">
        <w:rPr>
          <w:color w:val="auto"/>
        </w:rPr>
        <w:t xml:space="preserve">, </w:t>
      </w:r>
      <w:r w:rsidRPr="001158A5">
        <w:rPr>
          <w:color w:val="auto"/>
        </w:rPr>
        <w:t>Vendors</w:t>
      </w:r>
      <w:r w:rsidR="001158A5" w:rsidRPr="001158A5">
        <w:rPr>
          <w:color w:val="auto"/>
        </w:rPr>
        <w:t xml:space="preserve"> and </w:t>
      </w:r>
      <w:r w:rsidRPr="001158A5">
        <w:rPr>
          <w:color w:val="auto"/>
        </w:rPr>
        <w:t>Contractors</w:t>
      </w:r>
    </w:p>
    <w:p w14:paraId="45CC650A" w14:textId="77777777" w:rsidR="00B24CEE" w:rsidRDefault="00B24CEE" w:rsidP="00B24CEE"/>
    <w:p w14:paraId="4A8A2CEF" w14:textId="2FFBD126" w:rsidR="00A872C1" w:rsidRDefault="00BF7EE7" w:rsidP="00BF7EE7">
      <w:pPr>
        <w:spacing w:before="120" w:after="120"/>
        <w:rPr>
          <w:rFonts w:ascii="Arial" w:hAnsi="Arial" w:cs="Arial"/>
        </w:rPr>
      </w:pPr>
      <w:r w:rsidRPr="00BF7EE7">
        <w:rPr>
          <w:rFonts w:ascii="Arial" w:hAnsi="Arial" w:cs="Arial"/>
        </w:rPr>
        <w:t xml:space="preserve">Engaging with </w:t>
      </w:r>
      <w:r w:rsidR="00A872C1">
        <w:rPr>
          <w:rFonts w:ascii="Arial" w:hAnsi="Arial" w:cs="Arial"/>
        </w:rPr>
        <w:t>event stakeholders</w:t>
      </w:r>
      <w:r w:rsidR="00E6001F">
        <w:rPr>
          <w:rFonts w:ascii="Arial" w:hAnsi="Arial" w:cs="Arial"/>
        </w:rPr>
        <w:t>/</w:t>
      </w:r>
      <w:r w:rsidR="00DA3C6C">
        <w:rPr>
          <w:rFonts w:ascii="Arial" w:hAnsi="Arial" w:cs="Arial"/>
        </w:rPr>
        <w:t>v</w:t>
      </w:r>
      <w:r w:rsidR="00E6001F">
        <w:rPr>
          <w:rFonts w:ascii="Arial" w:hAnsi="Arial" w:cs="Arial"/>
        </w:rPr>
        <w:t>endors/</w:t>
      </w:r>
      <w:r w:rsidR="00DA3C6C">
        <w:rPr>
          <w:rFonts w:ascii="Arial" w:hAnsi="Arial" w:cs="Arial"/>
        </w:rPr>
        <w:t>c</w:t>
      </w:r>
      <w:r w:rsidR="00E6001F">
        <w:rPr>
          <w:rFonts w:ascii="Arial" w:hAnsi="Arial" w:cs="Arial"/>
        </w:rPr>
        <w:t>ontractors</w:t>
      </w:r>
      <w:r w:rsidR="00A872C1">
        <w:rPr>
          <w:rFonts w:ascii="Arial" w:hAnsi="Arial" w:cs="Arial"/>
        </w:rPr>
        <w:t xml:space="preserve"> will ensure a shared commitment to sustainability goals</w:t>
      </w:r>
      <w:r w:rsidRPr="00BF7EE7">
        <w:rPr>
          <w:rFonts w:ascii="Arial" w:hAnsi="Arial" w:cs="Arial"/>
        </w:rPr>
        <w:t>.</w:t>
      </w:r>
    </w:p>
    <w:p w14:paraId="4B661088" w14:textId="57DA1F5B" w:rsidR="00A872C1" w:rsidRDefault="00A872C1" w:rsidP="00BF7EE7">
      <w:pPr>
        <w:spacing w:before="120" w:after="120"/>
        <w:rPr>
          <w:rFonts w:ascii="Arial" w:hAnsi="Arial" w:cs="Arial"/>
        </w:rPr>
      </w:pPr>
      <w:r>
        <w:rPr>
          <w:rFonts w:ascii="Arial" w:hAnsi="Arial" w:cs="Arial"/>
        </w:rPr>
        <w:t>The</w:t>
      </w:r>
      <w:r w:rsidR="007629E3">
        <w:rPr>
          <w:rFonts w:ascii="Arial" w:hAnsi="Arial" w:cs="Arial"/>
        </w:rPr>
        <w:t>se</w:t>
      </w:r>
      <w:r>
        <w:rPr>
          <w:rFonts w:ascii="Arial" w:hAnsi="Arial" w:cs="Arial"/>
        </w:rPr>
        <w:t xml:space="preserve"> suggested clause</w:t>
      </w:r>
      <w:r w:rsidR="007629E3">
        <w:rPr>
          <w:rFonts w:ascii="Arial" w:hAnsi="Arial" w:cs="Arial"/>
        </w:rPr>
        <w:t>s</w:t>
      </w:r>
      <w:r>
        <w:rPr>
          <w:rFonts w:ascii="Arial" w:hAnsi="Arial" w:cs="Arial"/>
        </w:rPr>
        <w:t xml:space="preserve"> can be adopted into engagement contracts to ensure positive outcomes at events.</w:t>
      </w:r>
    </w:p>
    <w:p w14:paraId="642D7DEB" w14:textId="77777777" w:rsidR="00A872C1" w:rsidRDefault="00A872C1" w:rsidP="00BF7EE7">
      <w:pPr>
        <w:spacing w:before="120" w:after="120"/>
        <w:rPr>
          <w:rFonts w:ascii="Arial" w:hAnsi="Arial" w:cs="Arial"/>
        </w:rPr>
      </w:pPr>
    </w:p>
    <w:tbl>
      <w:tblPr>
        <w:tblStyle w:val="TableGrid"/>
        <w:tblW w:w="0" w:type="auto"/>
        <w:tblLook w:val="04A0" w:firstRow="1" w:lastRow="0" w:firstColumn="1" w:lastColumn="0" w:noHBand="0" w:noVBand="1"/>
      </w:tblPr>
      <w:tblGrid>
        <w:gridCol w:w="6801"/>
        <w:gridCol w:w="2929"/>
      </w:tblGrid>
      <w:tr w:rsidR="00923C11" w:rsidRPr="00923C11" w14:paraId="21A63209" w14:textId="77777777" w:rsidTr="00923C11">
        <w:tc>
          <w:tcPr>
            <w:tcW w:w="10096" w:type="dxa"/>
            <w:gridSpan w:val="2"/>
            <w:shd w:val="clear" w:color="auto" w:fill="7F7F7F" w:themeFill="text1" w:themeFillTint="80"/>
          </w:tcPr>
          <w:p w14:paraId="3169429B" w14:textId="77777777" w:rsidR="00A872C1" w:rsidRDefault="00A872C1" w:rsidP="00823A8B">
            <w:pPr>
              <w:jc w:val="center"/>
              <w:rPr>
                <w:rFonts w:ascii="Arial" w:hAnsi="Arial" w:cs="Arial"/>
                <w:b/>
                <w:color w:val="FFFFFF" w:themeColor="background1"/>
                <w:sz w:val="26"/>
                <w:szCs w:val="26"/>
              </w:rPr>
            </w:pPr>
            <w:r w:rsidRPr="00923C11">
              <w:rPr>
                <w:rFonts w:ascii="Arial" w:hAnsi="Arial" w:cs="Arial"/>
                <w:b/>
                <w:color w:val="FFFFFF" w:themeColor="background1"/>
                <w:sz w:val="26"/>
                <w:szCs w:val="26"/>
              </w:rPr>
              <w:t>Compliance with waste reduction initiatives</w:t>
            </w:r>
          </w:p>
          <w:p w14:paraId="4044921D" w14:textId="465E7988" w:rsidR="00923C11" w:rsidRPr="00923C11" w:rsidRDefault="00923C11" w:rsidP="00823A8B">
            <w:pPr>
              <w:jc w:val="center"/>
              <w:rPr>
                <w:rFonts w:ascii="Arial" w:hAnsi="Arial" w:cs="Arial"/>
                <w:b/>
                <w:color w:val="FFFFFF" w:themeColor="background1"/>
                <w:sz w:val="26"/>
                <w:szCs w:val="26"/>
              </w:rPr>
            </w:pPr>
          </w:p>
        </w:tc>
      </w:tr>
      <w:tr w:rsidR="00A872C1" w:rsidRPr="00A872C1" w14:paraId="59942D91" w14:textId="77777777" w:rsidTr="00823A8B">
        <w:tc>
          <w:tcPr>
            <w:tcW w:w="10096" w:type="dxa"/>
            <w:gridSpan w:val="2"/>
            <w:shd w:val="clear" w:color="auto" w:fill="FFFFFF" w:themeFill="background1"/>
          </w:tcPr>
          <w:p w14:paraId="7FDA5264" w14:textId="77777777" w:rsidR="00A872C1" w:rsidRPr="00A872C1" w:rsidRDefault="00A872C1" w:rsidP="00823A8B">
            <w:pPr>
              <w:spacing w:before="120" w:after="120"/>
              <w:rPr>
                <w:rFonts w:ascii="Arial" w:hAnsi="Arial" w:cs="Arial"/>
                <w:sz w:val="24"/>
                <w:szCs w:val="24"/>
              </w:rPr>
            </w:pPr>
            <w:r w:rsidRPr="00A872C1">
              <w:rPr>
                <w:rFonts w:ascii="Arial" w:hAnsi="Arial" w:cs="Arial"/>
                <w:sz w:val="24"/>
                <w:szCs w:val="24"/>
              </w:rPr>
              <w:t xml:space="preserve">Stallholders/Vendors/Contractors agree to comply with waste reduction initiatives of this event as specified by the Event Organiser </w:t>
            </w:r>
            <w:r w:rsidRPr="001158A5">
              <w:rPr>
                <w:rFonts w:ascii="Arial" w:hAnsi="Arial" w:cs="Arial"/>
                <w:color w:val="FF0000"/>
                <w:sz w:val="24"/>
                <w:szCs w:val="24"/>
              </w:rPr>
              <w:t>(Name)</w:t>
            </w:r>
            <w:r w:rsidRPr="001158A5">
              <w:rPr>
                <w:rFonts w:ascii="Arial" w:hAnsi="Arial" w:cs="Arial"/>
                <w:sz w:val="24"/>
                <w:szCs w:val="24"/>
              </w:rPr>
              <w:t>.</w:t>
            </w:r>
            <w:r w:rsidRPr="00A872C1">
              <w:rPr>
                <w:rFonts w:ascii="Arial" w:hAnsi="Arial" w:cs="Arial"/>
                <w:sz w:val="24"/>
                <w:szCs w:val="24"/>
              </w:rPr>
              <w:t xml:space="preserve">  </w:t>
            </w:r>
          </w:p>
          <w:p w14:paraId="0D6E488E" w14:textId="77777777" w:rsidR="00A872C1" w:rsidRDefault="00A872C1" w:rsidP="00823A8B">
            <w:pPr>
              <w:spacing w:before="120" w:after="120"/>
              <w:rPr>
                <w:rFonts w:ascii="Arial" w:hAnsi="Arial" w:cs="Arial"/>
                <w:sz w:val="24"/>
                <w:szCs w:val="24"/>
              </w:rPr>
            </w:pPr>
            <w:r w:rsidRPr="00A872C1">
              <w:rPr>
                <w:rFonts w:ascii="Arial" w:hAnsi="Arial" w:cs="Arial"/>
                <w:sz w:val="24"/>
                <w:szCs w:val="24"/>
              </w:rPr>
              <w:t>Stallholders/Vendors/Contractors agree to:</w:t>
            </w:r>
          </w:p>
          <w:p w14:paraId="7597BF56" w14:textId="2E2CF2E0" w:rsidR="00923C11" w:rsidRPr="00A872C1" w:rsidRDefault="00923C11" w:rsidP="00823A8B">
            <w:pPr>
              <w:spacing w:before="120" w:after="120"/>
              <w:rPr>
                <w:rFonts w:ascii="Arial" w:hAnsi="Arial" w:cs="Arial"/>
                <w:sz w:val="24"/>
                <w:szCs w:val="24"/>
              </w:rPr>
            </w:pPr>
          </w:p>
        </w:tc>
      </w:tr>
      <w:tr w:rsidR="00923C11" w:rsidRPr="00923C11" w14:paraId="7C601265" w14:textId="77777777" w:rsidTr="00923C11">
        <w:tc>
          <w:tcPr>
            <w:tcW w:w="7041" w:type="dxa"/>
            <w:shd w:val="clear" w:color="auto" w:fill="7F7F7F" w:themeFill="text1" w:themeFillTint="80"/>
          </w:tcPr>
          <w:p w14:paraId="24A50019" w14:textId="77777777" w:rsidR="00A872C1" w:rsidRPr="00923C11" w:rsidRDefault="00A872C1" w:rsidP="00823A8B">
            <w:pPr>
              <w:rPr>
                <w:rFonts w:ascii="Arial" w:hAnsi="Arial" w:cs="Arial"/>
                <w:b/>
                <w:color w:val="FFFFFF" w:themeColor="background1"/>
                <w:sz w:val="24"/>
                <w:szCs w:val="24"/>
              </w:rPr>
            </w:pPr>
            <w:r w:rsidRPr="00923C11">
              <w:rPr>
                <w:rFonts w:ascii="Arial" w:hAnsi="Arial" w:cs="Arial"/>
                <w:b/>
                <w:color w:val="FFFFFF" w:themeColor="background1"/>
                <w:sz w:val="24"/>
                <w:szCs w:val="24"/>
              </w:rPr>
              <w:t>Action:</w:t>
            </w:r>
          </w:p>
        </w:tc>
        <w:tc>
          <w:tcPr>
            <w:tcW w:w="3055" w:type="dxa"/>
            <w:shd w:val="clear" w:color="auto" w:fill="7F7F7F" w:themeFill="text1" w:themeFillTint="80"/>
          </w:tcPr>
          <w:p w14:paraId="6901928D" w14:textId="77777777" w:rsidR="00A872C1" w:rsidRPr="00923C11" w:rsidRDefault="00A872C1" w:rsidP="00823A8B">
            <w:pPr>
              <w:rPr>
                <w:rFonts w:ascii="Arial" w:hAnsi="Arial" w:cs="Arial"/>
                <w:b/>
                <w:color w:val="FFFFFF" w:themeColor="background1"/>
                <w:sz w:val="24"/>
                <w:szCs w:val="24"/>
              </w:rPr>
            </w:pPr>
            <w:r w:rsidRPr="00923C11">
              <w:rPr>
                <w:rFonts w:ascii="Arial" w:hAnsi="Arial" w:cs="Arial"/>
                <w:b/>
                <w:color w:val="FFFFFF" w:themeColor="background1"/>
                <w:sz w:val="24"/>
                <w:szCs w:val="24"/>
              </w:rPr>
              <w:t>Included in contracts</w:t>
            </w:r>
          </w:p>
        </w:tc>
      </w:tr>
      <w:tr w:rsidR="00A872C1" w:rsidRPr="00A872C1" w14:paraId="7F419900" w14:textId="77777777" w:rsidTr="00823A8B">
        <w:tc>
          <w:tcPr>
            <w:tcW w:w="7041" w:type="dxa"/>
            <w:shd w:val="clear" w:color="auto" w:fill="FFFFFF" w:themeFill="background1"/>
          </w:tcPr>
          <w:p w14:paraId="0608BC9A" w14:textId="37DCC997" w:rsidR="00A872C1" w:rsidRDefault="00A872C1" w:rsidP="00A872C1">
            <w:pPr>
              <w:pStyle w:val="ListParagraph"/>
              <w:numPr>
                <w:ilvl w:val="0"/>
                <w:numId w:val="25"/>
              </w:numPr>
              <w:ind w:left="449"/>
              <w:rPr>
                <w:rFonts w:ascii="Arial" w:hAnsi="Arial" w:cs="Arial"/>
                <w:sz w:val="24"/>
                <w:szCs w:val="24"/>
              </w:rPr>
            </w:pPr>
            <w:r w:rsidRPr="00A872C1">
              <w:rPr>
                <w:rFonts w:ascii="Arial" w:hAnsi="Arial" w:cs="Arial"/>
                <w:sz w:val="24"/>
                <w:szCs w:val="24"/>
              </w:rPr>
              <w:t>Educate themselves and event staff on correct waste management practices</w:t>
            </w:r>
            <w:r w:rsidR="00E6001F">
              <w:rPr>
                <w:rFonts w:ascii="Arial" w:hAnsi="Arial" w:cs="Arial"/>
                <w:sz w:val="24"/>
                <w:szCs w:val="24"/>
              </w:rPr>
              <w:t xml:space="preserve"> of the event</w:t>
            </w:r>
            <w:r w:rsidRPr="00A872C1">
              <w:rPr>
                <w:rFonts w:ascii="Arial" w:hAnsi="Arial" w:cs="Arial"/>
                <w:sz w:val="24"/>
                <w:szCs w:val="24"/>
              </w:rPr>
              <w:t>, sharing this with customers where possible</w:t>
            </w:r>
            <w:r w:rsidR="00E6001F">
              <w:rPr>
                <w:rFonts w:ascii="Arial" w:hAnsi="Arial" w:cs="Arial"/>
                <w:sz w:val="24"/>
                <w:szCs w:val="24"/>
              </w:rPr>
              <w:t xml:space="preserve"> and </w:t>
            </w:r>
            <w:r w:rsidRPr="00A872C1">
              <w:rPr>
                <w:rFonts w:ascii="Arial" w:hAnsi="Arial" w:cs="Arial"/>
                <w:sz w:val="24"/>
                <w:szCs w:val="24"/>
              </w:rPr>
              <w:t>appropriate</w:t>
            </w:r>
            <w:r w:rsidR="00144136">
              <w:rPr>
                <w:rFonts w:ascii="Arial" w:hAnsi="Arial" w:cs="Arial"/>
                <w:sz w:val="24"/>
                <w:szCs w:val="24"/>
              </w:rPr>
              <w:t>.</w:t>
            </w:r>
          </w:p>
          <w:p w14:paraId="0CAEB178" w14:textId="7754A9F3" w:rsidR="00923C11" w:rsidRPr="00A872C1" w:rsidRDefault="00923C11" w:rsidP="00923C11">
            <w:pPr>
              <w:pStyle w:val="ListParagraph"/>
              <w:ind w:left="449"/>
              <w:rPr>
                <w:rFonts w:ascii="Arial" w:hAnsi="Arial" w:cs="Arial"/>
                <w:sz w:val="24"/>
                <w:szCs w:val="24"/>
              </w:rPr>
            </w:pPr>
          </w:p>
        </w:tc>
        <w:tc>
          <w:tcPr>
            <w:tcW w:w="3055" w:type="dxa"/>
            <w:shd w:val="clear" w:color="auto" w:fill="FFFFFF" w:themeFill="background1"/>
          </w:tcPr>
          <w:p w14:paraId="24DAF6FA" w14:textId="77777777" w:rsidR="00A872C1" w:rsidRPr="00A872C1" w:rsidRDefault="00A872C1" w:rsidP="00A872C1">
            <w:pPr>
              <w:pStyle w:val="ListParagraph"/>
              <w:numPr>
                <w:ilvl w:val="0"/>
                <w:numId w:val="26"/>
              </w:numPr>
              <w:rPr>
                <w:rFonts w:ascii="Arial" w:hAnsi="Arial" w:cs="Arial"/>
                <w:sz w:val="24"/>
                <w:szCs w:val="24"/>
              </w:rPr>
            </w:pPr>
            <w:r w:rsidRPr="00A872C1">
              <w:rPr>
                <w:rFonts w:ascii="Arial" w:hAnsi="Arial" w:cs="Arial"/>
                <w:b/>
                <w:sz w:val="24"/>
                <w:szCs w:val="24"/>
              </w:rPr>
              <w:t>Yes</w:t>
            </w:r>
          </w:p>
        </w:tc>
      </w:tr>
      <w:tr w:rsidR="00A872C1" w:rsidRPr="00A872C1" w14:paraId="4B11022C" w14:textId="77777777" w:rsidTr="00823A8B">
        <w:tc>
          <w:tcPr>
            <w:tcW w:w="7041" w:type="dxa"/>
            <w:shd w:val="clear" w:color="auto" w:fill="FFFFFF" w:themeFill="background1"/>
          </w:tcPr>
          <w:p w14:paraId="3A64E6DF" w14:textId="2C2E876A" w:rsidR="00A872C1" w:rsidRDefault="00A872C1" w:rsidP="00A872C1">
            <w:pPr>
              <w:pStyle w:val="ListParagraph"/>
              <w:numPr>
                <w:ilvl w:val="0"/>
                <w:numId w:val="25"/>
              </w:numPr>
              <w:ind w:left="449"/>
              <w:rPr>
                <w:rFonts w:ascii="Arial" w:hAnsi="Arial" w:cs="Arial"/>
                <w:sz w:val="24"/>
                <w:szCs w:val="24"/>
              </w:rPr>
            </w:pPr>
            <w:r w:rsidRPr="00A872C1">
              <w:rPr>
                <w:rFonts w:ascii="Arial" w:hAnsi="Arial" w:cs="Arial"/>
                <w:sz w:val="24"/>
                <w:szCs w:val="24"/>
              </w:rPr>
              <w:t xml:space="preserve">Ensure waste management information provided is easily accessible </w:t>
            </w:r>
            <w:r w:rsidR="00E6001F">
              <w:rPr>
                <w:rFonts w:ascii="Arial" w:hAnsi="Arial" w:cs="Arial"/>
                <w:sz w:val="24"/>
                <w:szCs w:val="24"/>
              </w:rPr>
              <w:t>and</w:t>
            </w:r>
            <w:r w:rsidRPr="00A872C1">
              <w:rPr>
                <w:rFonts w:ascii="Arial" w:hAnsi="Arial" w:cs="Arial"/>
                <w:sz w:val="24"/>
                <w:szCs w:val="24"/>
              </w:rPr>
              <w:t xml:space="preserve"> visible to all staff</w:t>
            </w:r>
            <w:r w:rsidR="00144136">
              <w:rPr>
                <w:rFonts w:ascii="Arial" w:hAnsi="Arial" w:cs="Arial"/>
                <w:sz w:val="24"/>
                <w:szCs w:val="24"/>
              </w:rPr>
              <w:t>.</w:t>
            </w:r>
          </w:p>
          <w:p w14:paraId="1297A072" w14:textId="18381406" w:rsidR="00923C11" w:rsidRPr="00A872C1" w:rsidRDefault="00923C11" w:rsidP="00923C11">
            <w:pPr>
              <w:pStyle w:val="ListParagraph"/>
              <w:ind w:left="449"/>
              <w:rPr>
                <w:rFonts w:ascii="Arial" w:hAnsi="Arial" w:cs="Arial"/>
                <w:sz w:val="24"/>
                <w:szCs w:val="24"/>
              </w:rPr>
            </w:pPr>
          </w:p>
        </w:tc>
        <w:tc>
          <w:tcPr>
            <w:tcW w:w="3055" w:type="dxa"/>
            <w:shd w:val="clear" w:color="auto" w:fill="FFFFFF" w:themeFill="background1"/>
          </w:tcPr>
          <w:p w14:paraId="5DF2EA3D" w14:textId="77777777" w:rsidR="00A872C1" w:rsidRPr="00A872C1" w:rsidRDefault="00A872C1" w:rsidP="00A872C1">
            <w:pPr>
              <w:pStyle w:val="ListParagraph"/>
              <w:numPr>
                <w:ilvl w:val="0"/>
                <w:numId w:val="26"/>
              </w:numPr>
              <w:rPr>
                <w:rFonts w:ascii="Arial" w:hAnsi="Arial" w:cs="Arial"/>
                <w:sz w:val="24"/>
                <w:szCs w:val="24"/>
              </w:rPr>
            </w:pPr>
            <w:r w:rsidRPr="00A872C1">
              <w:rPr>
                <w:rFonts w:ascii="Arial" w:hAnsi="Arial" w:cs="Arial"/>
                <w:b/>
                <w:sz w:val="24"/>
                <w:szCs w:val="24"/>
              </w:rPr>
              <w:t>Yes</w:t>
            </w:r>
          </w:p>
        </w:tc>
      </w:tr>
      <w:tr w:rsidR="00A872C1" w:rsidRPr="00A872C1" w14:paraId="41D5CCBA" w14:textId="77777777" w:rsidTr="00823A8B">
        <w:tc>
          <w:tcPr>
            <w:tcW w:w="7041" w:type="dxa"/>
            <w:shd w:val="clear" w:color="auto" w:fill="FFFFFF" w:themeFill="background1"/>
          </w:tcPr>
          <w:p w14:paraId="668D2DEB" w14:textId="77777777" w:rsidR="00A872C1" w:rsidRPr="00A872C1" w:rsidRDefault="00A872C1" w:rsidP="00A872C1">
            <w:pPr>
              <w:pStyle w:val="ListParagraph"/>
              <w:numPr>
                <w:ilvl w:val="0"/>
                <w:numId w:val="25"/>
              </w:numPr>
              <w:ind w:left="449"/>
              <w:rPr>
                <w:rFonts w:ascii="Arial" w:hAnsi="Arial" w:cs="Arial"/>
                <w:sz w:val="24"/>
                <w:szCs w:val="24"/>
              </w:rPr>
            </w:pPr>
            <w:r w:rsidRPr="00A872C1">
              <w:rPr>
                <w:rFonts w:ascii="Arial" w:hAnsi="Arial" w:cs="Arial"/>
                <w:sz w:val="24"/>
                <w:szCs w:val="24"/>
              </w:rPr>
              <w:t>Use approved certified compostable materials as specified by the Event Organiser including, but not limited to:</w:t>
            </w:r>
          </w:p>
          <w:p w14:paraId="51278BB4" w14:textId="77777777" w:rsidR="00A872C1" w:rsidRPr="00A872C1" w:rsidRDefault="00A872C1" w:rsidP="00A872C1">
            <w:pPr>
              <w:pStyle w:val="ListParagraph"/>
              <w:numPr>
                <w:ilvl w:val="1"/>
                <w:numId w:val="25"/>
              </w:numPr>
              <w:ind w:left="875"/>
              <w:rPr>
                <w:rFonts w:ascii="Arial" w:hAnsi="Arial" w:cs="Arial"/>
                <w:sz w:val="24"/>
                <w:szCs w:val="24"/>
              </w:rPr>
            </w:pPr>
            <w:r w:rsidRPr="00A872C1">
              <w:rPr>
                <w:rFonts w:ascii="Arial" w:hAnsi="Arial" w:cs="Arial"/>
                <w:sz w:val="24"/>
                <w:szCs w:val="24"/>
              </w:rPr>
              <w:t>food &amp; beverage packaging/</w:t>
            </w:r>
            <w:proofErr w:type="gramStart"/>
            <w:r w:rsidRPr="00A872C1">
              <w:rPr>
                <w:rFonts w:ascii="Arial" w:hAnsi="Arial" w:cs="Arial"/>
                <w:sz w:val="24"/>
                <w:szCs w:val="24"/>
              </w:rPr>
              <w:t>serving-ware</w:t>
            </w:r>
            <w:proofErr w:type="gramEnd"/>
          </w:p>
          <w:p w14:paraId="7527517A" w14:textId="77777777" w:rsidR="00A872C1" w:rsidRPr="00A872C1" w:rsidRDefault="00A872C1" w:rsidP="00A872C1">
            <w:pPr>
              <w:pStyle w:val="ListParagraph"/>
              <w:numPr>
                <w:ilvl w:val="1"/>
                <w:numId w:val="25"/>
              </w:numPr>
              <w:ind w:left="875"/>
              <w:rPr>
                <w:rFonts w:ascii="Arial" w:hAnsi="Arial" w:cs="Arial"/>
                <w:sz w:val="24"/>
                <w:szCs w:val="24"/>
              </w:rPr>
            </w:pPr>
            <w:r w:rsidRPr="00A872C1">
              <w:rPr>
                <w:rFonts w:ascii="Arial" w:hAnsi="Arial" w:cs="Arial"/>
                <w:sz w:val="24"/>
                <w:szCs w:val="24"/>
              </w:rPr>
              <w:t xml:space="preserve">packaging for goods used </w:t>
            </w:r>
          </w:p>
          <w:p w14:paraId="4AD87E55" w14:textId="77777777" w:rsidR="00A872C1" w:rsidRDefault="00A872C1" w:rsidP="00A872C1">
            <w:pPr>
              <w:pStyle w:val="ListParagraph"/>
              <w:numPr>
                <w:ilvl w:val="1"/>
                <w:numId w:val="25"/>
              </w:numPr>
              <w:ind w:left="875"/>
              <w:rPr>
                <w:rFonts w:ascii="Arial" w:hAnsi="Arial" w:cs="Arial"/>
                <w:sz w:val="24"/>
                <w:szCs w:val="24"/>
              </w:rPr>
            </w:pPr>
            <w:r w:rsidRPr="00A872C1">
              <w:rPr>
                <w:rFonts w:ascii="Arial" w:hAnsi="Arial" w:cs="Arial"/>
                <w:sz w:val="24"/>
                <w:szCs w:val="24"/>
              </w:rPr>
              <w:t>materials used in food/product production</w:t>
            </w:r>
          </w:p>
          <w:p w14:paraId="006DB467" w14:textId="4BF9D7CC" w:rsidR="00923C11" w:rsidRPr="00A872C1" w:rsidRDefault="00923C11" w:rsidP="00144136">
            <w:pPr>
              <w:pStyle w:val="ListParagraph"/>
              <w:ind w:left="875"/>
              <w:rPr>
                <w:rFonts w:ascii="Arial" w:hAnsi="Arial" w:cs="Arial"/>
                <w:sz w:val="24"/>
                <w:szCs w:val="24"/>
              </w:rPr>
            </w:pPr>
          </w:p>
        </w:tc>
        <w:tc>
          <w:tcPr>
            <w:tcW w:w="3055" w:type="dxa"/>
            <w:shd w:val="clear" w:color="auto" w:fill="FFFFFF" w:themeFill="background1"/>
          </w:tcPr>
          <w:p w14:paraId="0BAE894C" w14:textId="77777777" w:rsidR="00A872C1" w:rsidRPr="00A872C1" w:rsidRDefault="00A872C1" w:rsidP="00A872C1">
            <w:pPr>
              <w:pStyle w:val="ListParagraph"/>
              <w:numPr>
                <w:ilvl w:val="0"/>
                <w:numId w:val="26"/>
              </w:numPr>
              <w:rPr>
                <w:rFonts w:ascii="Arial" w:hAnsi="Arial" w:cs="Arial"/>
                <w:sz w:val="24"/>
                <w:szCs w:val="24"/>
              </w:rPr>
            </w:pPr>
            <w:r w:rsidRPr="00A872C1">
              <w:rPr>
                <w:rFonts w:ascii="Arial" w:hAnsi="Arial" w:cs="Arial"/>
                <w:b/>
                <w:sz w:val="24"/>
                <w:szCs w:val="24"/>
              </w:rPr>
              <w:t>Yes</w:t>
            </w:r>
          </w:p>
        </w:tc>
      </w:tr>
      <w:tr w:rsidR="00A872C1" w:rsidRPr="00A872C1" w14:paraId="1C8B6C9E" w14:textId="77777777" w:rsidTr="00823A8B">
        <w:tc>
          <w:tcPr>
            <w:tcW w:w="7041" w:type="dxa"/>
            <w:shd w:val="clear" w:color="auto" w:fill="FFFFFF" w:themeFill="background1"/>
          </w:tcPr>
          <w:p w14:paraId="09121CDF" w14:textId="78BFD45E" w:rsidR="00A872C1" w:rsidRDefault="00A872C1" w:rsidP="00A872C1">
            <w:pPr>
              <w:pStyle w:val="ListParagraph"/>
              <w:numPr>
                <w:ilvl w:val="0"/>
                <w:numId w:val="25"/>
              </w:numPr>
              <w:ind w:left="449"/>
              <w:rPr>
                <w:rFonts w:ascii="Arial" w:hAnsi="Arial" w:cs="Arial"/>
                <w:sz w:val="24"/>
                <w:szCs w:val="24"/>
              </w:rPr>
            </w:pPr>
            <w:r w:rsidRPr="00A872C1">
              <w:rPr>
                <w:rFonts w:ascii="Arial" w:hAnsi="Arial" w:cs="Arial"/>
                <w:sz w:val="24"/>
                <w:szCs w:val="24"/>
              </w:rPr>
              <w:t xml:space="preserve">Separate materials into the correct allocated bins for </w:t>
            </w:r>
            <w:r w:rsidR="005D0E78">
              <w:rPr>
                <w:rFonts w:ascii="Arial" w:hAnsi="Arial" w:cs="Arial"/>
                <w:sz w:val="24"/>
                <w:szCs w:val="24"/>
              </w:rPr>
              <w:t xml:space="preserve">appropriate </w:t>
            </w:r>
            <w:r w:rsidRPr="00A872C1">
              <w:rPr>
                <w:rFonts w:ascii="Arial" w:hAnsi="Arial" w:cs="Arial"/>
                <w:sz w:val="24"/>
                <w:szCs w:val="24"/>
              </w:rPr>
              <w:t>disposal</w:t>
            </w:r>
            <w:r w:rsidR="00144136">
              <w:rPr>
                <w:rFonts w:ascii="Arial" w:hAnsi="Arial" w:cs="Arial"/>
                <w:sz w:val="24"/>
                <w:szCs w:val="24"/>
              </w:rPr>
              <w:t>.</w:t>
            </w:r>
          </w:p>
          <w:p w14:paraId="421BCFAD" w14:textId="6522F4B1" w:rsidR="00923C11" w:rsidRPr="00A872C1" w:rsidRDefault="00923C11" w:rsidP="00923C11">
            <w:pPr>
              <w:pStyle w:val="ListParagraph"/>
              <w:ind w:left="449"/>
              <w:rPr>
                <w:rFonts w:ascii="Arial" w:hAnsi="Arial" w:cs="Arial"/>
                <w:sz w:val="24"/>
                <w:szCs w:val="24"/>
              </w:rPr>
            </w:pPr>
          </w:p>
        </w:tc>
        <w:tc>
          <w:tcPr>
            <w:tcW w:w="3055" w:type="dxa"/>
            <w:shd w:val="clear" w:color="auto" w:fill="FFFFFF" w:themeFill="background1"/>
          </w:tcPr>
          <w:p w14:paraId="3FFB08BF" w14:textId="77777777" w:rsidR="00A872C1" w:rsidRPr="00A872C1" w:rsidRDefault="00A872C1" w:rsidP="00A872C1">
            <w:pPr>
              <w:pStyle w:val="ListParagraph"/>
              <w:numPr>
                <w:ilvl w:val="0"/>
                <w:numId w:val="26"/>
              </w:numPr>
              <w:rPr>
                <w:rFonts w:ascii="Arial" w:hAnsi="Arial" w:cs="Arial"/>
                <w:sz w:val="24"/>
                <w:szCs w:val="24"/>
              </w:rPr>
            </w:pPr>
            <w:r w:rsidRPr="00A872C1">
              <w:rPr>
                <w:rFonts w:ascii="Arial" w:hAnsi="Arial" w:cs="Arial"/>
                <w:b/>
                <w:sz w:val="24"/>
                <w:szCs w:val="24"/>
              </w:rPr>
              <w:t>Yes</w:t>
            </w:r>
          </w:p>
        </w:tc>
      </w:tr>
      <w:tr w:rsidR="00A872C1" w:rsidRPr="00A872C1" w14:paraId="18F9108E" w14:textId="77777777" w:rsidTr="00823A8B">
        <w:tc>
          <w:tcPr>
            <w:tcW w:w="7041" w:type="dxa"/>
            <w:shd w:val="clear" w:color="auto" w:fill="FFFFFF" w:themeFill="background1"/>
          </w:tcPr>
          <w:p w14:paraId="33A8E10F" w14:textId="72430EF5" w:rsidR="00A872C1" w:rsidRDefault="00A872C1" w:rsidP="00A872C1">
            <w:pPr>
              <w:pStyle w:val="ListParagraph"/>
              <w:numPr>
                <w:ilvl w:val="0"/>
                <w:numId w:val="25"/>
              </w:numPr>
              <w:ind w:left="449"/>
              <w:rPr>
                <w:rFonts w:ascii="Arial" w:hAnsi="Arial" w:cs="Arial"/>
                <w:sz w:val="24"/>
                <w:szCs w:val="24"/>
              </w:rPr>
            </w:pPr>
            <w:r w:rsidRPr="00A872C1">
              <w:rPr>
                <w:rFonts w:ascii="Arial" w:hAnsi="Arial" w:cs="Arial"/>
                <w:sz w:val="24"/>
                <w:szCs w:val="24"/>
              </w:rPr>
              <w:t>Use only designated Stallholder/Vendor/Contractor bins (Not front of house/patron bins)</w:t>
            </w:r>
            <w:r w:rsidR="00144136">
              <w:rPr>
                <w:rFonts w:ascii="Arial" w:hAnsi="Arial" w:cs="Arial"/>
                <w:sz w:val="24"/>
                <w:szCs w:val="24"/>
              </w:rPr>
              <w:t>.</w:t>
            </w:r>
          </w:p>
          <w:p w14:paraId="2BD2AC16" w14:textId="16EA4013" w:rsidR="00923C11" w:rsidRPr="00A872C1" w:rsidRDefault="00923C11" w:rsidP="00923C11">
            <w:pPr>
              <w:pStyle w:val="ListParagraph"/>
              <w:ind w:left="449"/>
              <w:rPr>
                <w:rFonts w:ascii="Arial" w:hAnsi="Arial" w:cs="Arial"/>
                <w:sz w:val="24"/>
                <w:szCs w:val="24"/>
              </w:rPr>
            </w:pPr>
          </w:p>
        </w:tc>
        <w:tc>
          <w:tcPr>
            <w:tcW w:w="3055" w:type="dxa"/>
            <w:shd w:val="clear" w:color="auto" w:fill="FFFFFF" w:themeFill="background1"/>
          </w:tcPr>
          <w:p w14:paraId="4C2094CB" w14:textId="77777777" w:rsidR="00A872C1" w:rsidRPr="00A872C1" w:rsidRDefault="00A872C1" w:rsidP="00A872C1">
            <w:pPr>
              <w:pStyle w:val="ListParagraph"/>
              <w:numPr>
                <w:ilvl w:val="0"/>
                <w:numId w:val="26"/>
              </w:numPr>
              <w:rPr>
                <w:rFonts w:ascii="Arial" w:hAnsi="Arial" w:cs="Arial"/>
                <w:sz w:val="24"/>
                <w:szCs w:val="24"/>
              </w:rPr>
            </w:pPr>
            <w:r w:rsidRPr="00A872C1">
              <w:rPr>
                <w:rFonts w:ascii="Arial" w:hAnsi="Arial" w:cs="Arial"/>
                <w:b/>
                <w:sz w:val="24"/>
                <w:szCs w:val="24"/>
              </w:rPr>
              <w:t>Yes</w:t>
            </w:r>
          </w:p>
        </w:tc>
      </w:tr>
      <w:tr w:rsidR="00A872C1" w:rsidRPr="00A872C1" w14:paraId="03E2BE64" w14:textId="77777777" w:rsidTr="00823A8B">
        <w:tc>
          <w:tcPr>
            <w:tcW w:w="7041" w:type="dxa"/>
            <w:shd w:val="clear" w:color="auto" w:fill="FFFFFF" w:themeFill="background1"/>
          </w:tcPr>
          <w:p w14:paraId="4989CBDB" w14:textId="11A1D41A" w:rsidR="00A872C1" w:rsidRDefault="00A872C1" w:rsidP="00A872C1">
            <w:pPr>
              <w:pStyle w:val="ListParagraph"/>
              <w:numPr>
                <w:ilvl w:val="0"/>
                <w:numId w:val="25"/>
              </w:numPr>
              <w:ind w:left="449"/>
              <w:rPr>
                <w:rFonts w:ascii="Arial" w:hAnsi="Arial" w:cs="Arial"/>
                <w:sz w:val="24"/>
                <w:szCs w:val="24"/>
              </w:rPr>
            </w:pPr>
            <w:r w:rsidRPr="00A872C1">
              <w:rPr>
                <w:rFonts w:ascii="Arial" w:hAnsi="Arial" w:cs="Arial"/>
                <w:sz w:val="24"/>
                <w:szCs w:val="24"/>
              </w:rPr>
              <w:t xml:space="preserve">Ensure </w:t>
            </w:r>
            <w:r w:rsidR="005D0E78">
              <w:rPr>
                <w:rFonts w:ascii="Arial" w:hAnsi="Arial" w:cs="Arial"/>
                <w:sz w:val="24"/>
                <w:szCs w:val="24"/>
              </w:rPr>
              <w:t xml:space="preserve">that </w:t>
            </w:r>
            <w:r w:rsidRPr="00A872C1">
              <w:rPr>
                <w:rFonts w:ascii="Arial" w:hAnsi="Arial" w:cs="Arial"/>
                <w:sz w:val="24"/>
                <w:szCs w:val="24"/>
              </w:rPr>
              <w:t xml:space="preserve">no waste materials are littered or left unattended during bump-in, operation and bump-out of </w:t>
            </w:r>
            <w:r w:rsidR="005D0E78">
              <w:rPr>
                <w:rFonts w:ascii="Arial" w:hAnsi="Arial" w:cs="Arial"/>
                <w:sz w:val="24"/>
                <w:szCs w:val="24"/>
              </w:rPr>
              <w:t xml:space="preserve">the </w:t>
            </w:r>
            <w:r w:rsidRPr="00A872C1">
              <w:rPr>
                <w:rFonts w:ascii="Arial" w:hAnsi="Arial" w:cs="Arial"/>
                <w:sz w:val="24"/>
                <w:szCs w:val="24"/>
              </w:rPr>
              <w:t>event</w:t>
            </w:r>
            <w:r w:rsidR="00144136">
              <w:rPr>
                <w:rFonts w:ascii="Arial" w:hAnsi="Arial" w:cs="Arial"/>
                <w:sz w:val="24"/>
                <w:szCs w:val="24"/>
              </w:rPr>
              <w:t>.</w:t>
            </w:r>
          </w:p>
          <w:p w14:paraId="25FCE523" w14:textId="70CED337" w:rsidR="00923C11" w:rsidRPr="00A872C1" w:rsidRDefault="00923C11" w:rsidP="00144136">
            <w:pPr>
              <w:pStyle w:val="ListParagraph"/>
              <w:ind w:left="449"/>
              <w:rPr>
                <w:rFonts w:ascii="Arial" w:hAnsi="Arial" w:cs="Arial"/>
                <w:sz w:val="24"/>
                <w:szCs w:val="24"/>
              </w:rPr>
            </w:pPr>
          </w:p>
        </w:tc>
        <w:tc>
          <w:tcPr>
            <w:tcW w:w="3055" w:type="dxa"/>
            <w:shd w:val="clear" w:color="auto" w:fill="FFFFFF" w:themeFill="background1"/>
          </w:tcPr>
          <w:p w14:paraId="71EF497A" w14:textId="77777777" w:rsidR="00A872C1" w:rsidRPr="00A872C1" w:rsidRDefault="00A872C1" w:rsidP="00A872C1">
            <w:pPr>
              <w:pStyle w:val="ListParagraph"/>
              <w:numPr>
                <w:ilvl w:val="0"/>
                <w:numId w:val="26"/>
              </w:numPr>
              <w:rPr>
                <w:rFonts w:ascii="Arial" w:hAnsi="Arial" w:cs="Arial"/>
                <w:sz w:val="24"/>
                <w:szCs w:val="24"/>
              </w:rPr>
            </w:pPr>
            <w:r w:rsidRPr="00A872C1">
              <w:rPr>
                <w:rFonts w:ascii="Arial" w:hAnsi="Arial" w:cs="Arial"/>
                <w:b/>
                <w:sz w:val="24"/>
                <w:szCs w:val="24"/>
              </w:rPr>
              <w:t>Yes</w:t>
            </w:r>
          </w:p>
        </w:tc>
      </w:tr>
    </w:tbl>
    <w:p w14:paraId="0E9A63DE" w14:textId="25951AAF" w:rsidR="00BF7EE7" w:rsidRPr="00A872C1" w:rsidRDefault="00BF7EE7" w:rsidP="00BF7EE7">
      <w:pPr>
        <w:spacing w:before="120" w:after="120"/>
        <w:rPr>
          <w:rFonts w:ascii="Arial" w:hAnsi="Arial" w:cs="Arial"/>
        </w:rPr>
      </w:pPr>
      <w:r w:rsidRPr="00A872C1">
        <w:rPr>
          <w:rFonts w:ascii="Arial" w:hAnsi="Arial" w:cs="Arial"/>
        </w:rPr>
        <w:t xml:space="preserve"> </w:t>
      </w:r>
      <w:bookmarkStart w:id="0" w:name="_GoBack"/>
      <w:bookmarkEnd w:id="0"/>
    </w:p>
    <w:p w14:paraId="0C58A622" w14:textId="50CF41B2" w:rsidR="007A3CE3" w:rsidRPr="00BF7EE7" w:rsidRDefault="007A3CE3" w:rsidP="00D37A96">
      <w:pPr>
        <w:rPr>
          <w:rFonts w:ascii="Arial" w:eastAsia="Times New Roman" w:hAnsi="Arial" w:cs="Arial"/>
        </w:rPr>
      </w:pPr>
    </w:p>
    <w:sectPr w:rsidR="007A3CE3" w:rsidRPr="00BF7EE7" w:rsidSect="006933E8">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8A40C" w14:textId="77777777" w:rsidR="00EB47A1" w:rsidRDefault="00EB47A1" w:rsidP="00EB47A1">
      <w:r>
        <w:separator/>
      </w:r>
    </w:p>
  </w:endnote>
  <w:endnote w:type="continuationSeparator" w:id="0">
    <w:p w14:paraId="48CE2716" w14:textId="77777777" w:rsidR="00EB47A1" w:rsidRDefault="00EB47A1" w:rsidP="00EB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gra Book">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512E" w14:textId="31E441E6" w:rsidR="00360657" w:rsidRDefault="00113A51" w:rsidP="00360657">
    <w:pPr>
      <w:rPr>
        <w:rFonts w:ascii="Arial" w:hAnsi="Arial" w:cs="Arial"/>
        <w:iCs/>
        <w:sz w:val="16"/>
        <w:szCs w:val="16"/>
      </w:rPr>
    </w:pPr>
    <w:r w:rsidRPr="00113A51">
      <w:rPr>
        <w:rFonts w:ascii="Arial" w:hAnsi="Arial" w:cs="Arial"/>
        <w:iCs/>
        <w:sz w:val="16"/>
        <w:szCs w:val="16"/>
      </w:rPr>
      <w:t>Developed by the City of Adelaide.</w:t>
    </w:r>
  </w:p>
  <w:p w14:paraId="1CC0D106" w14:textId="2ED41CE9" w:rsidR="00360657" w:rsidRDefault="00360657" w:rsidP="00360657">
    <w:pPr>
      <w:rPr>
        <w:rFonts w:ascii="Arial" w:hAnsi="Arial" w:cs="Arial"/>
        <w:iCs/>
        <w:sz w:val="16"/>
        <w:szCs w:val="16"/>
      </w:rPr>
    </w:pPr>
    <w:r>
      <w:rPr>
        <w:rFonts w:ascii="Arial" w:hAnsi="Arial" w:cs="Arial"/>
        <w:b/>
        <w:bCs/>
        <w:iCs/>
        <w:sz w:val="16"/>
        <w:szCs w:val="16"/>
      </w:rPr>
      <w:t>Disclaimer</w:t>
    </w:r>
    <w:r>
      <w:rPr>
        <w:rFonts w:ascii="Arial" w:hAnsi="Arial" w:cs="Arial"/>
        <w:iCs/>
        <w:sz w:val="16"/>
        <w:szCs w:val="16"/>
      </w:rPr>
      <w:t>: City of Adelaide provides this information as a useful resource to industry. No responsibility can be taken by the City of Adelaide or its representatives for alterations or application to contracts and agreements. All text utilised should be legally checked as part of overall contract checks.</w:t>
    </w:r>
  </w:p>
  <w:p w14:paraId="5D7D7431" w14:textId="05B2F710" w:rsidR="00113A51" w:rsidRDefault="00113A51" w:rsidP="00360657">
    <w:pPr>
      <w:rPr>
        <w:rFonts w:ascii="Arial" w:hAnsi="Arial" w:cs="Arial"/>
        <w:iCs/>
        <w:sz w:val="16"/>
        <w:szCs w:val="16"/>
      </w:rPr>
    </w:pPr>
    <w:r w:rsidRPr="00113A51">
      <w:rPr>
        <w:rFonts w:ascii="Arial" w:hAnsi="Arial" w:cs="Arial"/>
        <w:iCs/>
        <w:sz w:val="16"/>
        <w:szCs w:val="16"/>
      </w:rPr>
      <w:t>This template is intended to be sent electronically to access web links and to reduce waste.</w:t>
    </w:r>
  </w:p>
  <w:p w14:paraId="3DBCC9F3" w14:textId="77777777" w:rsidR="00360657" w:rsidRPr="00113A51" w:rsidRDefault="00360657" w:rsidP="00360657">
    <w:pPr>
      <w:rPr>
        <w:rFonts w:ascii="Arial" w:hAnsi="Arial" w:cs="Arial"/>
        <w:iCs/>
        <w:sz w:val="16"/>
        <w:szCs w:val="16"/>
      </w:rPr>
    </w:pPr>
  </w:p>
  <w:p w14:paraId="7CC6FD38" w14:textId="6647A391" w:rsidR="001158A5" w:rsidRPr="00113A51" w:rsidRDefault="005D0E78">
    <w:pPr>
      <w:pStyle w:val="Footer"/>
      <w:rPr>
        <w:rFonts w:ascii="Arial" w:hAnsi="Arial" w:cs="Arial"/>
        <w:sz w:val="16"/>
        <w:szCs w:val="16"/>
      </w:rPr>
    </w:pPr>
    <w:r w:rsidRPr="00113A51">
      <w:rPr>
        <w:rFonts w:ascii="Arial" w:eastAsiaTheme="majorEastAsia" w:hAnsi="Arial" w:cs="Arial"/>
        <w:color w:val="5B9BD5" w:themeColor="accent1"/>
        <w:sz w:val="16"/>
        <w:szCs w:val="16"/>
      </w:rPr>
      <w:t xml:space="preserve"> pg. </w:t>
    </w:r>
    <w:r w:rsidRPr="00113A51">
      <w:rPr>
        <w:rFonts w:ascii="Arial" w:eastAsiaTheme="minorEastAsia" w:hAnsi="Arial" w:cs="Arial"/>
        <w:color w:val="5B9BD5" w:themeColor="accent1"/>
        <w:sz w:val="16"/>
        <w:szCs w:val="16"/>
      </w:rPr>
      <w:fldChar w:fldCharType="begin"/>
    </w:r>
    <w:r w:rsidRPr="00113A51">
      <w:rPr>
        <w:rFonts w:ascii="Arial" w:hAnsi="Arial" w:cs="Arial"/>
        <w:color w:val="5B9BD5" w:themeColor="accent1"/>
        <w:sz w:val="16"/>
        <w:szCs w:val="16"/>
      </w:rPr>
      <w:instrText xml:space="preserve"> PAGE    \* MERGEFORMAT </w:instrText>
    </w:r>
    <w:r w:rsidRPr="00113A51">
      <w:rPr>
        <w:rFonts w:ascii="Arial" w:eastAsiaTheme="minorEastAsia" w:hAnsi="Arial" w:cs="Arial"/>
        <w:color w:val="5B9BD5" w:themeColor="accent1"/>
        <w:sz w:val="16"/>
        <w:szCs w:val="16"/>
      </w:rPr>
      <w:fldChar w:fldCharType="separate"/>
    </w:r>
    <w:r w:rsidRPr="00113A51">
      <w:rPr>
        <w:rFonts w:ascii="Arial" w:eastAsiaTheme="minorEastAsia" w:hAnsi="Arial" w:cs="Arial"/>
        <w:color w:val="5B9BD5" w:themeColor="accent1"/>
        <w:sz w:val="16"/>
        <w:szCs w:val="16"/>
      </w:rPr>
      <w:t>1</w:t>
    </w:r>
    <w:r w:rsidRPr="00113A51">
      <w:rPr>
        <w:rFonts w:ascii="Arial" w:eastAsiaTheme="majorEastAsia" w:hAnsi="Arial" w:cs="Arial"/>
        <w:noProof/>
        <w:color w:val="5B9BD5" w:themeColor="accent1"/>
        <w:sz w:val="16"/>
        <w:szCs w:val="16"/>
      </w:rPr>
      <w:fldChar w:fldCharType="end"/>
    </w:r>
    <w:r w:rsidRPr="00113A51">
      <w:rPr>
        <w:rFonts w:ascii="Arial" w:eastAsiaTheme="majorEastAsia" w:hAnsi="Arial" w:cs="Arial"/>
        <w:noProof/>
        <w:color w:val="5B9BD5" w:themeColor="accent1"/>
        <w:sz w:val="16"/>
        <w:szCs w:val="16"/>
      </w:rPr>
      <w:t xml:space="preserve"> of 1                                                                 </w:t>
    </w:r>
    <w:r w:rsidRPr="00113A51">
      <w:rPr>
        <w:rFonts w:ascii="Arial" w:eastAsiaTheme="majorEastAsia" w:hAnsi="Arial" w:cs="Arial"/>
        <w:noProof/>
        <w:color w:val="5B9BD5" w:themeColor="accent1"/>
        <w:sz w:val="16"/>
        <w:szCs w:val="16"/>
      </w:rPr>
      <w:tab/>
      <w:t>Sustainable Events: Clause Guide for Stallholders, Vendors and Contractors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6CDE" w14:textId="77777777" w:rsidR="00EB47A1" w:rsidRDefault="00EB47A1" w:rsidP="00EB47A1">
      <w:r>
        <w:separator/>
      </w:r>
    </w:p>
  </w:footnote>
  <w:footnote w:type="continuationSeparator" w:id="0">
    <w:p w14:paraId="2BBE791D" w14:textId="77777777" w:rsidR="00EB47A1" w:rsidRDefault="00EB47A1" w:rsidP="00EB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8A5"/>
    <w:multiLevelType w:val="hybridMultilevel"/>
    <w:tmpl w:val="B37AC420"/>
    <w:lvl w:ilvl="0" w:tplc="628049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25B92"/>
    <w:multiLevelType w:val="hybridMultilevel"/>
    <w:tmpl w:val="72F48E0E"/>
    <w:lvl w:ilvl="0" w:tplc="4D3A02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2384"/>
    <w:multiLevelType w:val="hybridMultilevel"/>
    <w:tmpl w:val="60FC3A9A"/>
    <w:lvl w:ilvl="0" w:tplc="D5221D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E0139"/>
    <w:multiLevelType w:val="hybridMultilevel"/>
    <w:tmpl w:val="4B521AA2"/>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E19BC"/>
    <w:multiLevelType w:val="hybridMultilevel"/>
    <w:tmpl w:val="11D6C4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466F7D"/>
    <w:multiLevelType w:val="hybridMultilevel"/>
    <w:tmpl w:val="BCDE1F42"/>
    <w:lvl w:ilvl="0" w:tplc="4D3A02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F19B8"/>
    <w:multiLevelType w:val="hybridMultilevel"/>
    <w:tmpl w:val="AAE8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662B"/>
    <w:multiLevelType w:val="hybridMultilevel"/>
    <w:tmpl w:val="621AD8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F08BF"/>
    <w:multiLevelType w:val="hybridMultilevel"/>
    <w:tmpl w:val="73286A30"/>
    <w:lvl w:ilvl="0" w:tplc="4D3A02A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C5399"/>
    <w:multiLevelType w:val="hybridMultilevel"/>
    <w:tmpl w:val="9728692A"/>
    <w:lvl w:ilvl="0" w:tplc="D5221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7227D"/>
    <w:multiLevelType w:val="multilevel"/>
    <w:tmpl w:val="9D6A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4A2D5E"/>
    <w:multiLevelType w:val="hybridMultilevel"/>
    <w:tmpl w:val="701407A2"/>
    <w:lvl w:ilvl="0" w:tplc="D5221D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7E6DA5"/>
    <w:multiLevelType w:val="hybridMultilevel"/>
    <w:tmpl w:val="2D0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D5D1B"/>
    <w:multiLevelType w:val="hybridMultilevel"/>
    <w:tmpl w:val="7A0EF866"/>
    <w:lvl w:ilvl="0" w:tplc="4D3A02A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4462C8"/>
    <w:multiLevelType w:val="hybridMultilevel"/>
    <w:tmpl w:val="DDA23AE2"/>
    <w:lvl w:ilvl="0" w:tplc="D5221D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7520CE"/>
    <w:multiLevelType w:val="multilevel"/>
    <w:tmpl w:val="5EB6D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F84E03"/>
    <w:multiLevelType w:val="hybridMultilevel"/>
    <w:tmpl w:val="1B3AF9FA"/>
    <w:lvl w:ilvl="0" w:tplc="4D3A02A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3F638A"/>
    <w:multiLevelType w:val="hybridMultilevel"/>
    <w:tmpl w:val="025E525E"/>
    <w:lvl w:ilvl="0" w:tplc="D5221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4402D"/>
    <w:multiLevelType w:val="hybridMultilevel"/>
    <w:tmpl w:val="81F2B1DE"/>
    <w:lvl w:ilvl="0" w:tplc="3176DA48">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3E3732"/>
    <w:multiLevelType w:val="hybridMultilevel"/>
    <w:tmpl w:val="596AC880"/>
    <w:lvl w:ilvl="0" w:tplc="04090003">
      <w:start w:val="1"/>
      <w:numFmt w:val="bullet"/>
      <w:lvlText w:val="o"/>
      <w:lvlJc w:val="left"/>
      <w:pPr>
        <w:ind w:left="1080" w:hanging="360"/>
      </w:pPr>
      <w:rPr>
        <w:rFonts w:ascii="Courier New" w:hAnsi="Courier New" w:cs="Courier New" w:hint="default"/>
      </w:rPr>
    </w:lvl>
    <w:lvl w:ilvl="1" w:tplc="8B361C2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C4BF6"/>
    <w:multiLevelType w:val="hybridMultilevel"/>
    <w:tmpl w:val="CF5EC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98A32BE"/>
    <w:multiLevelType w:val="hybridMultilevel"/>
    <w:tmpl w:val="91505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534D8"/>
    <w:multiLevelType w:val="hybridMultilevel"/>
    <w:tmpl w:val="F4088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B966C11"/>
    <w:multiLevelType w:val="hybridMultilevel"/>
    <w:tmpl w:val="0BCE351C"/>
    <w:lvl w:ilvl="0" w:tplc="4D3A02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5C398C"/>
    <w:multiLevelType w:val="hybridMultilevel"/>
    <w:tmpl w:val="DD720C00"/>
    <w:lvl w:ilvl="0" w:tplc="04090003">
      <w:start w:val="1"/>
      <w:numFmt w:val="bullet"/>
      <w:lvlText w:val="o"/>
      <w:lvlJc w:val="left"/>
      <w:pPr>
        <w:ind w:left="1080" w:hanging="360"/>
      </w:pPr>
      <w:rPr>
        <w:rFonts w:ascii="Courier New" w:hAnsi="Courier New" w:cs="Courier New" w:hint="default"/>
      </w:rPr>
    </w:lvl>
    <w:lvl w:ilvl="1" w:tplc="4D3A02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794FB0"/>
    <w:multiLevelType w:val="hybridMultilevel"/>
    <w:tmpl w:val="7422AC58"/>
    <w:lvl w:ilvl="0" w:tplc="E43A050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8"/>
  </w:num>
  <w:num w:numId="4">
    <w:abstractNumId w:val="19"/>
  </w:num>
  <w:num w:numId="5">
    <w:abstractNumId w:val="25"/>
  </w:num>
  <w:num w:numId="6">
    <w:abstractNumId w:val="7"/>
  </w:num>
  <w:num w:numId="7">
    <w:abstractNumId w:val="15"/>
  </w:num>
  <w:num w:numId="8">
    <w:abstractNumId w:val="2"/>
  </w:num>
  <w:num w:numId="9">
    <w:abstractNumId w:val="14"/>
  </w:num>
  <w:num w:numId="10">
    <w:abstractNumId w:val="11"/>
  </w:num>
  <w:num w:numId="11">
    <w:abstractNumId w:val="9"/>
  </w:num>
  <w:num w:numId="12">
    <w:abstractNumId w:val="17"/>
  </w:num>
  <w:num w:numId="13">
    <w:abstractNumId w:val="8"/>
  </w:num>
  <w:num w:numId="14">
    <w:abstractNumId w:val="16"/>
  </w:num>
  <w:num w:numId="15">
    <w:abstractNumId w:val="23"/>
  </w:num>
  <w:num w:numId="16">
    <w:abstractNumId w:val="5"/>
  </w:num>
  <w:num w:numId="17">
    <w:abstractNumId w:val="24"/>
  </w:num>
  <w:num w:numId="18">
    <w:abstractNumId w:val="13"/>
  </w:num>
  <w:num w:numId="19">
    <w:abstractNumId w:val="3"/>
  </w:num>
  <w:num w:numId="20">
    <w:abstractNumId w:val="12"/>
  </w:num>
  <w:num w:numId="21">
    <w:abstractNumId w:val="6"/>
  </w:num>
  <w:num w:numId="22">
    <w:abstractNumId w:val="1"/>
  </w:num>
  <w:num w:numId="23">
    <w:abstractNumId w:val="20"/>
  </w:num>
  <w:num w:numId="24">
    <w:abstractNumId w:val="22"/>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99"/>
    <w:rsid w:val="00027975"/>
    <w:rsid w:val="0005080E"/>
    <w:rsid w:val="00061A1D"/>
    <w:rsid w:val="000A06CD"/>
    <w:rsid w:val="000C341E"/>
    <w:rsid w:val="000C37E5"/>
    <w:rsid w:val="000E5DBD"/>
    <w:rsid w:val="00110ADF"/>
    <w:rsid w:val="00113A51"/>
    <w:rsid w:val="001158A5"/>
    <w:rsid w:val="0011629C"/>
    <w:rsid w:val="001179B2"/>
    <w:rsid w:val="00144136"/>
    <w:rsid w:val="0018556E"/>
    <w:rsid w:val="00195454"/>
    <w:rsid w:val="001B3DF3"/>
    <w:rsid w:val="001C5E99"/>
    <w:rsid w:val="001D459F"/>
    <w:rsid w:val="002047BB"/>
    <w:rsid w:val="00231492"/>
    <w:rsid w:val="0024063D"/>
    <w:rsid w:val="00264C08"/>
    <w:rsid w:val="00264F76"/>
    <w:rsid w:val="002D3B6E"/>
    <w:rsid w:val="0032279F"/>
    <w:rsid w:val="00355969"/>
    <w:rsid w:val="00360657"/>
    <w:rsid w:val="003A7667"/>
    <w:rsid w:val="00426459"/>
    <w:rsid w:val="00434231"/>
    <w:rsid w:val="00441F7C"/>
    <w:rsid w:val="00447FB0"/>
    <w:rsid w:val="004557D1"/>
    <w:rsid w:val="0048598D"/>
    <w:rsid w:val="004943F0"/>
    <w:rsid w:val="004C2817"/>
    <w:rsid w:val="004C607E"/>
    <w:rsid w:val="004E4EE3"/>
    <w:rsid w:val="0051519F"/>
    <w:rsid w:val="00520CA4"/>
    <w:rsid w:val="00525753"/>
    <w:rsid w:val="00560E53"/>
    <w:rsid w:val="00570DF1"/>
    <w:rsid w:val="005730BB"/>
    <w:rsid w:val="005A6181"/>
    <w:rsid w:val="005C65B6"/>
    <w:rsid w:val="005C7D00"/>
    <w:rsid w:val="005D0E78"/>
    <w:rsid w:val="005F2B7B"/>
    <w:rsid w:val="006076A6"/>
    <w:rsid w:val="006156B1"/>
    <w:rsid w:val="00616565"/>
    <w:rsid w:val="00647F06"/>
    <w:rsid w:val="00651121"/>
    <w:rsid w:val="00656EA2"/>
    <w:rsid w:val="006933E8"/>
    <w:rsid w:val="006959CE"/>
    <w:rsid w:val="00697F6F"/>
    <w:rsid w:val="006B3039"/>
    <w:rsid w:val="006B52AB"/>
    <w:rsid w:val="006D6400"/>
    <w:rsid w:val="00726819"/>
    <w:rsid w:val="007340FE"/>
    <w:rsid w:val="00751B6A"/>
    <w:rsid w:val="007629E3"/>
    <w:rsid w:val="007A3CE3"/>
    <w:rsid w:val="007B71CE"/>
    <w:rsid w:val="007C379D"/>
    <w:rsid w:val="007C37B8"/>
    <w:rsid w:val="007C3A76"/>
    <w:rsid w:val="007D0F99"/>
    <w:rsid w:val="008251DC"/>
    <w:rsid w:val="00844EF8"/>
    <w:rsid w:val="00861624"/>
    <w:rsid w:val="008800C8"/>
    <w:rsid w:val="008B0DA1"/>
    <w:rsid w:val="008D5C73"/>
    <w:rsid w:val="00906C4E"/>
    <w:rsid w:val="00923C11"/>
    <w:rsid w:val="0096712A"/>
    <w:rsid w:val="00971702"/>
    <w:rsid w:val="009732B5"/>
    <w:rsid w:val="009956F3"/>
    <w:rsid w:val="009B7C60"/>
    <w:rsid w:val="009E630A"/>
    <w:rsid w:val="00A03B14"/>
    <w:rsid w:val="00A32860"/>
    <w:rsid w:val="00A7563A"/>
    <w:rsid w:val="00A872C1"/>
    <w:rsid w:val="00A96C69"/>
    <w:rsid w:val="00A97FF8"/>
    <w:rsid w:val="00B04566"/>
    <w:rsid w:val="00B06DAD"/>
    <w:rsid w:val="00B20B65"/>
    <w:rsid w:val="00B24CEE"/>
    <w:rsid w:val="00B25397"/>
    <w:rsid w:val="00B4795D"/>
    <w:rsid w:val="00BB303B"/>
    <w:rsid w:val="00BC613F"/>
    <w:rsid w:val="00BD22FB"/>
    <w:rsid w:val="00BD392E"/>
    <w:rsid w:val="00BE6E19"/>
    <w:rsid w:val="00BF7EE7"/>
    <w:rsid w:val="00C02501"/>
    <w:rsid w:val="00C153F7"/>
    <w:rsid w:val="00C265E1"/>
    <w:rsid w:val="00C4189B"/>
    <w:rsid w:val="00C42613"/>
    <w:rsid w:val="00C70B14"/>
    <w:rsid w:val="00C827E0"/>
    <w:rsid w:val="00C83029"/>
    <w:rsid w:val="00CB568D"/>
    <w:rsid w:val="00D12014"/>
    <w:rsid w:val="00D20552"/>
    <w:rsid w:val="00D37A96"/>
    <w:rsid w:val="00D478C4"/>
    <w:rsid w:val="00D73B52"/>
    <w:rsid w:val="00D9084F"/>
    <w:rsid w:val="00DA3C6C"/>
    <w:rsid w:val="00DB28A5"/>
    <w:rsid w:val="00DB554F"/>
    <w:rsid w:val="00DC258A"/>
    <w:rsid w:val="00DD33C6"/>
    <w:rsid w:val="00DE1793"/>
    <w:rsid w:val="00DE3488"/>
    <w:rsid w:val="00E0192B"/>
    <w:rsid w:val="00E150B5"/>
    <w:rsid w:val="00E340FC"/>
    <w:rsid w:val="00E423A0"/>
    <w:rsid w:val="00E6001F"/>
    <w:rsid w:val="00E655E2"/>
    <w:rsid w:val="00E74F99"/>
    <w:rsid w:val="00E91105"/>
    <w:rsid w:val="00EB47A1"/>
    <w:rsid w:val="00EE35CD"/>
    <w:rsid w:val="00EE36B2"/>
    <w:rsid w:val="00EE493A"/>
    <w:rsid w:val="00F8158C"/>
    <w:rsid w:val="00F85C59"/>
    <w:rsid w:val="00FB7747"/>
    <w:rsid w:val="00FC451D"/>
    <w:rsid w:val="00FE6E53"/>
    <w:rsid w:val="00FF2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451A9E"/>
  <w15:chartTrackingRefBased/>
  <w15:docId w15:val="{CAC06C68-6556-5647-89AD-427205D1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E9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5E99"/>
  </w:style>
  <w:style w:type="character" w:styleId="Strong">
    <w:name w:val="Strong"/>
    <w:basedOn w:val="DefaultParagraphFont"/>
    <w:uiPriority w:val="22"/>
    <w:qFormat/>
    <w:rsid w:val="001C5E99"/>
    <w:rPr>
      <w:b/>
      <w:bCs/>
    </w:rPr>
  </w:style>
  <w:style w:type="character" w:styleId="Hyperlink">
    <w:name w:val="Hyperlink"/>
    <w:basedOn w:val="DefaultParagraphFont"/>
    <w:uiPriority w:val="99"/>
    <w:unhideWhenUsed/>
    <w:rsid w:val="001C5E99"/>
    <w:rPr>
      <w:color w:val="0000FF"/>
      <w:u w:val="single"/>
    </w:rPr>
  </w:style>
  <w:style w:type="character" w:styleId="CommentReference">
    <w:name w:val="annotation reference"/>
    <w:basedOn w:val="DefaultParagraphFont"/>
    <w:uiPriority w:val="99"/>
    <w:semiHidden/>
    <w:unhideWhenUsed/>
    <w:rsid w:val="001C5E99"/>
    <w:rPr>
      <w:sz w:val="16"/>
      <w:szCs w:val="16"/>
    </w:rPr>
  </w:style>
  <w:style w:type="paragraph" w:styleId="CommentText">
    <w:name w:val="annotation text"/>
    <w:basedOn w:val="Normal"/>
    <w:link w:val="CommentTextChar"/>
    <w:uiPriority w:val="99"/>
    <w:semiHidden/>
    <w:unhideWhenUsed/>
    <w:rsid w:val="001C5E99"/>
    <w:rPr>
      <w:sz w:val="20"/>
      <w:szCs w:val="20"/>
    </w:rPr>
  </w:style>
  <w:style w:type="character" w:customStyle="1" w:styleId="CommentTextChar">
    <w:name w:val="Comment Text Char"/>
    <w:basedOn w:val="DefaultParagraphFont"/>
    <w:link w:val="CommentText"/>
    <w:uiPriority w:val="99"/>
    <w:semiHidden/>
    <w:rsid w:val="001C5E99"/>
    <w:rPr>
      <w:sz w:val="20"/>
      <w:szCs w:val="20"/>
    </w:rPr>
  </w:style>
  <w:style w:type="paragraph" w:styleId="CommentSubject">
    <w:name w:val="annotation subject"/>
    <w:basedOn w:val="CommentText"/>
    <w:next w:val="CommentText"/>
    <w:link w:val="CommentSubjectChar"/>
    <w:uiPriority w:val="99"/>
    <w:semiHidden/>
    <w:unhideWhenUsed/>
    <w:rsid w:val="001C5E99"/>
    <w:rPr>
      <w:b/>
      <w:bCs/>
    </w:rPr>
  </w:style>
  <w:style w:type="character" w:customStyle="1" w:styleId="CommentSubjectChar">
    <w:name w:val="Comment Subject Char"/>
    <w:basedOn w:val="CommentTextChar"/>
    <w:link w:val="CommentSubject"/>
    <w:uiPriority w:val="99"/>
    <w:semiHidden/>
    <w:rsid w:val="001C5E99"/>
    <w:rPr>
      <w:b/>
      <w:bCs/>
      <w:sz w:val="20"/>
      <w:szCs w:val="20"/>
    </w:rPr>
  </w:style>
  <w:style w:type="paragraph" w:styleId="BalloonText">
    <w:name w:val="Balloon Text"/>
    <w:basedOn w:val="Normal"/>
    <w:link w:val="BalloonTextChar"/>
    <w:uiPriority w:val="99"/>
    <w:semiHidden/>
    <w:unhideWhenUsed/>
    <w:rsid w:val="001C5E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E99"/>
    <w:rPr>
      <w:rFonts w:ascii="Times New Roman" w:hAnsi="Times New Roman" w:cs="Times New Roman"/>
      <w:sz w:val="18"/>
      <w:szCs w:val="18"/>
    </w:rPr>
  </w:style>
  <w:style w:type="paragraph" w:styleId="ListParagraph">
    <w:name w:val="List Paragraph"/>
    <w:basedOn w:val="Normal"/>
    <w:uiPriority w:val="34"/>
    <w:qFormat/>
    <w:rsid w:val="001C5E99"/>
    <w:pPr>
      <w:ind w:left="720"/>
      <w:contextualSpacing/>
    </w:pPr>
  </w:style>
  <w:style w:type="character" w:styleId="UnresolvedMention">
    <w:name w:val="Unresolved Mention"/>
    <w:basedOn w:val="DefaultParagraphFont"/>
    <w:uiPriority w:val="99"/>
    <w:rsid w:val="001C5E99"/>
    <w:rPr>
      <w:color w:val="605E5C"/>
      <w:shd w:val="clear" w:color="auto" w:fill="E1DFDD"/>
    </w:rPr>
  </w:style>
  <w:style w:type="character" w:styleId="FollowedHyperlink">
    <w:name w:val="FollowedHyperlink"/>
    <w:basedOn w:val="DefaultParagraphFont"/>
    <w:uiPriority w:val="99"/>
    <w:semiHidden/>
    <w:unhideWhenUsed/>
    <w:rsid w:val="006B3039"/>
    <w:rPr>
      <w:color w:val="954F72" w:themeColor="followedHyperlink"/>
      <w:u w:val="single"/>
    </w:rPr>
  </w:style>
  <w:style w:type="paragraph" w:styleId="Revision">
    <w:name w:val="Revision"/>
    <w:hidden/>
    <w:uiPriority w:val="99"/>
    <w:semiHidden/>
    <w:rsid w:val="00697F6F"/>
  </w:style>
  <w:style w:type="paragraph" w:customStyle="1" w:styleId="Default">
    <w:name w:val="Default"/>
    <w:rsid w:val="00647F06"/>
    <w:pPr>
      <w:autoSpaceDE w:val="0"/>
      <w:autoSpaceDN w:val="0"/>
      <w:adjustRightInd w:val="0"/>
    </w:pPr>
    <w:rPr>
      <w:rFonts w:ascii="Ingra Book" w:hAnsi="Ingra Book" w:cs="Ingra Book"/>
      <w:color w:val="000000"/>
      <w:lang w:val="en-US"/>
    </w:rPr>
  </w:style>
  <w:style w:type="paragraph" w:customStyle="1" w:styleId="Pa0">
    <w:name w:val="Pa0"/>
    <w:basedOn w:val="Default"/>
    <w:next w:val="Default"/>
    <w:uiPriority w:val="99"/>
    <w:rsid w:val="00647F06"/>
    <w:pPr>
      <w:spacing w:line="201" w:lineRule="atLeast"/>
    </w:pPr>
    <w:rPr>
      <w:rFonts w:cstheme="minorBidi"/>
      <w:color w:val="auto"/>
    </w:rPr>
  </w:style>
  <w:style w:type="paragraph" w:styleId="Title">
    <w:name w:val="Title"/>
    <w:basedOn w:val="Normal"/>
    <w:next w:val="Normal"/>
    <w:link w:val="TitleChar"/>
    <w:uiPriority w:val="10"/>
    <w:qFormat/>
    <w:rsid w:val="00441F7C"/>
    <w:rPr>
      <w:rFonts w:ascii="Arial" w:hAnsi="Arial" w:cs="Arial"/>
      <w:b/>
      <w:color w:val="00C7B1"/>
      <w:sz w:val="48"/>
      <w:szCs w:val="48"/>
      <w:lang w:eastAsia="en-AU"/>
    </w:rPr>
  </w:style>
  <w:style w:type="character" w:customStyle="1" w:styleId="TitleChar">
    <w:name w:val="Title Char"/>
    <w:basedOn w:val="DefaultParagraphFont"/>
    <w:link w:val="Title"/>
    <w:uiPriority w:val="10"/>
    <w:rsid w:val="00441F7C"/>
    <w:rPr>
      <w:rFonts w:ascii="Arial" w:hAnsi="Arial" w:cs="Arial"/>
      <w:b/>
      <w:color w:val="00C7B1"/>
      <w:sz w:val="48"/>
      <w:szCs w:val="48"/>
      <w:lang w:eastAsia="en-AU"/>
    </w:rPr>
  </w:style>
  <w:style w:type="paragraph" w:styleId="Header">
    <w:name w:val="header"/>
    <w:basedOn w:val="Normal"/>
    <w:link w:val="HeaderChar"/>
    <w:uiPriority w:val="99"/>
    <w:unhideWhenUsed/>
    <w:rsid w:val="00EB47A1"/>
    <w:pPr>
      <w:tabs>
        <w:tab w:val="center" w:pos="4513"/>
        <w:tab w:val="right" w:pos="9026"/>
      </w:tabs>
    </w:pPr>
  </w:style>
  <w:style w:type="character" w:customStyle="1" w:styleId="HeaderChar">
    <w:name w:val="Header Char"/>
    <w:basedOn w:val="DefaultParagraphFont"/>
    <w:link w:val="Header"/>
    <w:uiPriority w:val="99"/>
    <w:rsid w:val="00EB47A1"/>
  </w:style>
  <w:style w:type="paragraph" w:styleId="Footer">
    <w:name w:val="footer"/>
    <w:basedOn w:val="Normal"/>
    <w:link w:val="FooterChar"/>
    <w:uiPriority w:val="99"/>
    <w:unhideWhenUsed/>
    <w:rsid w:val="00EB47A1"/>
    <w:pPr>
      <w:tabs>
        <w:tab w:val="center" w:pos="4513"/>
        <w:tab w:val="right" w:pos="9026"/>
      </w:tabs>
    </w:pPr>
  </w:style>
  <w:style w:type="character" w:customStyle="1" w:styleId="FooterChar">
    <w:name w:val="Footer Char"/>
    <w:basedOn w:val="DefaultParagraphFont"/>
    <w:link w:val="Footer"/>
    <w:uiPriority w:val="99"/>
    <w:rsid w:val="00EB47A1"/>
  </w:style>
  <w:style w:type="table" w:styleId="TableGrid">
    <w:name w:val="Table Grid"/>
    <w:basedOn w:val="TableNormal"/>
    <w:uiPriority w:val="59"/>
    <w:rsid w:val="00E019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5455">
      <w:bodyDiv w:val="1"/>
      <w:marLeft w:val="0"/>
      <w:marRight w:val="0"/>
      <w:marTop w:val="0"/>
      <w:marBottom w:val="0"/>
      <w:divBdr>
        <w:top w:val="none" w:sz="0" w:space="0" w:color="auto"/>
        <w:left w:val="none" w:sz="0" w:space="0" w:color="auto"/>
        <w:bottom w:val="none" w:sz="0" w:space="0" w:color="auto"/>
        <w:right w:val="none" w:sz="0" w:space="0" w:color="auto"/>
      </w:divBdr>
    </w:div>
    <w:div w:id="351685341">
      <w:bodyDiv w:val="1"/>
      <w:marLeft w:val="0"/>
      <w:marRight w:val="0"/>
      <w:marTop w:val="0"/>
      <w:marBottom w:val="0"/>
      <w:divBdr>
        <w:top w:val="none" w:sz="0" w:space="0" w:color="auto"/>
        <w:left w:val="none" w:sz="0" w:space="0" w:color="auto"/>
        <w:bottom w:val="none" w:sz="0" w:space="0" w:color="auto"/>
        <w:right w:val="none" w:sz="0" w:space="0" w:color="auto"/>
      </w:divBdr>
    </w:div>
    <w:div w:id="607347010">
      <w:bodyDiv w:val="1"/>
      <w:marLeft w:val="0"/>
      <w:marRight w:val="0"/>
      <w:marTop w:val="0"/>
      <w:marBottom w:val="0"/>
      <w:divBdr>
        <w:top w:val="none" w:sz="0" w:space="0" w:color="auto"/>
        <w:left w:val="none" w:sz="0" w:space="0" w:color="auto"/>
        <w:bottom w:val="none" w:sz="0" w:space="0" w:color="auto"/>
        <w:right w:val="none" w:sz="0" w:space="0" w:color="auto"/>
      </w:divBdr>
    </w:div>
    <w:div w:id="648049694">
      <w:bodyDiv w:val="1"/>
      <w:marLeft w:val="0"/>
      <w:marRight w:val="0"/>
      <w:marTop w:val="0"/>
      <w:marBottom w:val="0"/>
      <w:divBdr>
        <w:top w:val="none" w:sz="0" w:space="0" w:color="auto"/>
        <w:left w:val="none" w:sz="0" w:space="0" w:color="auto"/>
        <w:bottom w:val="none" w:sz="0" w:space="0" w:color="auto"/>
        <w:right w:val="none" w:sz="0" w:space="0" w:color="auto"/>
      </w:divBdr>
    </w:div>
    <w:div w:id="710885629">
      <w:bodyDiv w:val="1"/>
      <w:marLeft w:val="0"/>
      <w:marRight w:val="0"/>
      <w:marTop w:val="0"/>
      <w:marBottom w:val="0"/>
      <w:divBdr>
        <w:top w:val="none" w:sz="0" w:space="0" w:color="auto"/>
        <w:left w:val="none" w:sz="0" w:space="0" w:color="auto"/>
        <w:bottom w:val="none" w:sz="0" w:space="0" w:color="auto"/>
        <w:right w:val="none" w:sz="0" w:space="0" w:color="auto"/>
      </w:divBdr>
      <w:divsChild>
        <w:div w:id="1738744545">
          <w:marLeft w:val="0"/>
          <w:marRight w:val="0"/>
          <w:marTop w:val="0"/>
          <w:marBottom w:val="150"/>
          <w:divBdr>
            <w:top w:val="none" w:sz="0" w:space="0" w:color="auto"/>
            <w:left w:val="none" w:sz="0" w:space="0" w:color="auto"/>
            <w:bottom w:val="none" w:sz="0" w:space="0" w:color="auto"/>
            <w:right w:val="none" w:sz="0" w:space="0" w:color="auto"/>
          </w:divBdr>
        </w:div>
        <w:div w:id="639308258">
          <w:marLeft w:val="0"/>
          <w:marRight w:val="0"/>
          <w:marTop w:val="0"/>
          <w:marBottom w:val="0"/>
          <w:divBdr>
            <w:top w:val="none" w:sz="0" w:space="0" w:color="auto"/>
            <w:left w:val="none" w:sz="0" w:space="0" w:color="auto"/>
            <w:bottom w:val="none" w:sz="0" w:space="0" w:color="auto"/>
            <w:right w:val="none" w:sz="0" w:space="0" w:color="auto"/>
          </w:divBdr>
        </w:div>
      </w:divsChild>
    </w:div>
    <w:div w:id="1043824114">
      <w:bodyDiv w:val="1"/>
      <w:marLeft w:val="0"/>
      <w:marRight w:val="0"/>
      <w:marTop w:val="0"/>
      <w:marBottom w:val="0"/>
      <w:divBdr>
        <w:top w:val="none" w:sz="0" w:space="0" w:color="auto"/>
        <w:left w:val="none" w:sz="0" w:space="0" w:color="auto"/>
        <w:bottom w:val="none" w:sz="0" w:space="0" w:color="auto"/>
        <w:right w:val="none" w:sz="0" w:space="0" w:color="auto"/>
      </w:divBdr>
    </w:div>
    <w:div w:id="1094786090">
      <w:bodyDiv w:val="1"/>
      <w:marLeft w:val="0"/>
      <w:marRight w:val="0"/>
      <w:marTop w:val="0"/>
      <w:marBottom w:val="0"/>
      <w:divBdr>
        <w:top w:val="none" w:sz="0" w:space="0" w:color="auto"/>
        <w:left w:val="none" w:sz="0" w:space="0" w:color="auto"/>
        <w:bottom w:val="none" w:sz="0" w:space="0" w:color="auto"/>
        <w:right w:val="none" w:sz="0" w:space="0" w:color="auto"/>
      </w:divBdr>
    </w:div>
    <w:div w:id="1223444422">
      <w:bodyDiv w:val="1"/>
      <w:marLeft w:val="0"/>
      <w:marRight w:val="0"/>
      <w:marTop w:val="0"/>
      <w:marBottom w:val="0"/>
      <w:divBdr>
        <w:top w:val="none" w:sz="0" w:space="0" w:color="auto"/>
        <w:left w:val="none" w:sz="0" w:space="0" w:color="auto"/>
        <w:bottom w:val="none" w:sz="0" w:space="0" w:color="auto"/>
        <w:right w:val="none" w:sz="0" w:space="0" w:color="auto"/>
      </w:divBdr>
    </w:div>
    <w:div w:id="1313559446">
      <w:bodyDiv w:val="1"/>
      <w:marLeft w:val="0"/>
      <w:marRight w:val="0"/>
      <w:marTop w:val="0"/>
      <w:marBottom w:val="0"/>
      <w:divBdr>
        <w:top w:val="none" w:sz="0" w:space="0" w:color="auto"/>
        <w:left w:val="none" w:sz="0" w:space="0" w:color="auto"/>
        <w:bottom w:val="none" w:sz="0" w:space="0" w:color="auto"/>
        <w:right w:val="none" w:sz="0" w:space="0" w:color="auto"/>
      </w:divBdr>
    </w:div>
    <w:div w:id="1364790162">
      <w:bodyDiv w:val="1"/>
      <w:marLeft w:val="0"/>
      <w:marRight w:val="0"/>
      <w:marTop w:val="0"/>
      <w:marBottom w:val="0"/>
      <w:divBdr>
        <w:top w:val="none" w:sz="0" w:space="0" w:color="auto"/>
        <w:left w:val="none" w:sz="0" w:space="0" w:color="auto"/>
        <w:bottom w:val="none" w:sz="0" w:space="0" w:color="auto"/>
        <w:right w:val="none" w:sz="0" w:space="0" w:color="auto"/>
      </w:divBdr>
      <w:divsChild>
        <w:div w:id="128208353">
          <w:marLeft w:val="0"/>
          <w:marRight w:val="0"/>
          <w:marTop w:val="0"/>
          <w:marBottom w:val="0"/>
          <w:divBdr>
            <w:top w:val="none" w:sz="0" w:space="0" w:color="auto"/>
            <w:left w:val="none" w:sz="0" w:space="0" w:color="auto"/>
            <w:bottom w:val="none" w:sz="0" w:space="0" w:color="auto"/>
            <w:right w:val="none" w:sz="0" w:space="0" w:color="auto"/>
          </w:divBdr>
          <w:divsChild>
            <w:div w:id="172109020">
              <w:marLeft w:val="0"/>
              <w:marRight w:val="0"/>
              <w:marTop w:val="0"/>
              <w:marBottom w:val="0"/>
              <w:divBdr>
                <w:top w:val="none" w:sz="0" w:space="0" w:color="auto"/>
                <w:left w:val="none" w:sz="0" w:space="0" w:color="auto"/>
                <w:bottom w:val="none" w:sz="0" w:space="0" w:color="auto"/>
                <w:right w:val="none" w:sz="0" w:space="0" w:color="auto"/>
              </w:divBdr>
              <w:divsChild>
                <w:div w:id="1841507214">
                  <w:marLeft w:val="0"/>
                  <w:marRight w:val="0"/>
                  <w:marTop w:val="0"/>
                  <w:marBottom w:val="0"/>
                  <w:divBdr>
                    <w:top w:val="none" w:sz="0" w:space="0" w:color="auto"/>
                    <w:left w:val="none" w:sz="0" w:space="0" w:color="auto"/>
                    <w:bottom w:val="none" w:sz="0" w:space="0" w:color="auto"/>
                    <w:right w:val="none" w:sz="0" w:space="0" w:color="auto"/>
                  </w:divBdr>
                  <w:divsChild>
                    <w:div w:id="17316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7963">
      <w:bodyDiv w:val="1"/>
      <w:marLeft w:val="0"/>
      <w:marRight w:val="0"/>
      <w:marTop w:val="0"/>
      <w:marBottom w:val="0"/>
      <w:divBdr>
        <w:top w:val="none" w:sz="0" w:space="0" w:color="auto"/>
        <w:left w:val="none" w:sz="0" w:space="0" w:color="auto"/>
        <w:bottom w:val="none" w:sz="0" w:space="0" w:color="auto"/>
        <w:right w:val="none" w:sz="0" w:space="0" w:color="auto"/>
      </w:divBdr>
    </w:div>
    <w:div w:id="1785733023">
      <w:bodyDiv w:val="1"/>
      <w:marLeft w:val="0"/>
      <w:marRight w:val="0"/>
      <w:marTop w:val="0"/>
      <w:marBottom w:val="0"/>
      <w:divBdr>
        <w:top w:val="none" w:sz="0" w:space="0" w:color="auto"/>
        <w:left w:val="none" w:sz="0" w:space="0" w:color="auto"/>
        <w:bottom w:val="none" w:sz="0" w:space="0" w:color="auto"/>
        <w:right w:val="none" w:sz="0" w:space="0" w:color="auto"/>
      </w:divBdr>
    </w:div>
    <w:div w:id="1806465131">
      <w:bodyDiv w:val="1"/>
      <w:marLeft w:val="0"/>
      <w:marRight w:val="0"/>
      <w:marTop w:val="0"/>
      <w:marBottom w:val="0"/>
      <w:divBdr>
        <w:top w:val="none" w:sz="0" w:space="0" w:color="auto"/>
        <w:left w:val="none" w:sz="0" w:space="0" w:color="auto"/>
        <w:bottom w:val="none" w:sz="0" w:space="0" w:color="auto"/>
        <w:right w:val="none" w:sz="0" w:space="0" w:color="auto"/>
      </w:divBdr>
    </w:div>
    <w:div w:id="19330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291C-CBEC-4D1D-8101-88594D79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Iglio</dc:creator>
  <cp:keywords/>
  <dc:description/>
  <cp:lastModifiedBy>Rebecca Short</cp:lastModifiedBy>
  <cp:revision>6</cp:revision>
  <cp:lastPrinted>2019-12-11T06:28:00Z</cp:lastPrinted>
  <dcterms:created xsi:type="dcterms:W3CDTF">2020-04-28T01:52:00Z</dcterms:created>
  <dcterms:modified xsi:type="dcterms:W3CDTF">2020-08-05T03:15:00Z</dcterms:modified>
</cp:coreProperties>
</file>