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B4A8D" w14:textId="40A1E698" w:rsidR="00A920FF" w:rsidRPr="00A920FF" w:rsidRDefault="00A920FF" w:rsidP="00665A5C">
      <w:pPr>
        <w:pStyle w:val="Heading3"/>
        <w:ind w:left="-782" w:right="-782"/>
        <w:jc w:val="both"/>
        <w:rPr>
          <w:rFonts w:ascii="Arial" w:hAnsi="Arial" w:cs="Arial"/>
          <w:szCs w:val="32"/>
        </w:rPr>
      </w:pPr>
      <w:r w:rsidRPr="00A920FF">
        <w:rPr>
          <w:rFonts w:ascii="Arial" w:hAnsi="Arial" w:cs="Arial"/>
          <w:szCs w:val="32"/>
        </w:rPr>
        <w:t>Context Unit Registrations</w:t>
      </w:r>
      <w:r w:rsidR="00C21695">
        <w:rPr>
          <w:rFonts w:ascii="Arial" w:hAnsi="Arial" w:cs="Arial"/>
          <w:szCs w:val="32"/>
        </w:rPr>
        <w:tab/>
      </w:r>
      <w:r w:rsidR="00C21695">
        <w:rPr>
          <w:rFonts w:ascii="Arial" w:hAnsi="Arial" w:cs="Arial"/>
          <w:szCs w:val="32"/>
        </w:rPr>
        <w:tab/>
      </w:r>
      <w:r w:rsidR="00C21695">
        <w:rPr>
          <w:rFonts w:ascii="Arial" w:hAnsi="Arial" w:cs="Arial"/>
          <w:szCs w:val="32"/>
        </w:rPr>
        <w:tab/>
      </w:r>
      <w:r w:rsidR="00665A5C">
        <w:rPr>
          <w:rFonts w:ascii="Arial" w:hAnsi="Arial" w:cs="Arial"/>
          <w:szCs w:val="32"/>
        </w:rPr>
        <w:tab/>
      </w:r>
      <w:r w:rsidR="00665A5C">
        <w:rPr>
          <w:rFonts w:ascii="Arial" w:hAnsi="Arial" w:cs="Arial"/>
          <w:szCs w:val="32"/>
        </w:rPr>
        <w:tab/>
        <w:t xml:space="preserve">     </w:t>
      </w:r>
      <w:r w:rsidRPr="00A920FF">
        <w:rPr>
          <w:rFonts w:ascii="Arial" w:hAnsi="Arial" w:cs="Arial"/>
          <w:szCs w:val="32"/>
        </w:rPr>
        <w:t>Source Sheet No. 8</w:t>
      </w:r>
    </w:p>
    <w:p w14:paraId="1BD53AEC" w14:textId="77777777" w:rsidR="00A920FF" w:rsidRPr="00A920FF" w:rsidRDefault="00A920FF" w:rsidP="00665A5C">
      <w:pPr>
        <w:tabs>
          <w:tab w:val="left" w:pos="-1134"/>
          <w:tab w:val="left" w:pos="7513"/>
        </w:tabs>
        <w:ind w:left="-782" w:right="-782"/>
        <w:jc w:val="both"/>
        <w:rPr>
          <w:rFonts w:ascii="Arial" w:hAnsi="Arial" w:cs="Arial"/>
          <w:b/>
          <w:sz w:val="28"/>
        </w:rPr>
      </w:pPr>
    </w:p>
    <w:p w14:paraId="5E423FAE" w14:textId="77777777" w:rsidR="00A920FF" w:rsidRPr="00665A5C" w:rsidRDefault="00A920FF" w:rsidP="00665A5C">
      <w:pPr>
        <w:tabs>
          <w:tab w:val="left" w:pos="-1134"/>
          <w:tab w:val="left" w:pos="7513"/>
        </w:tabs>
        <w:ind w:left="-782" w:right="-782"/>
        <w:jc w:val="both"/>
        <w:rPr>
          <w:rFonts w:ascii="Arial" w:hAnsi="Arial" w:cs="Arial"/>
          <w:b/>
        </w:rPr>
      </w:pPr>
      <w:r w:rsidRPr="00665A5C">
        <w:rPr>
          <w:rFonts w:ascii="Arial" w:hAnsi="Arial" w:cs="Arial"/>
          <w:b/>
        </w:rPr>
        <w:t>What Are They?</w:t>
      </w:r>
    </w:p>
    <w:p w14:paraId="2E91EF26" w14:textId="77777777" w:rsidR="00A920FF" w:rsidRPr="00A920FF" w:rsidRDefault="00A920FF" w:rsidP="00665A5C">
      <w:pPr>
        <w:tabs>
          <w:tab w:val="left" w:pos="-1134"/>
          <w:tab w:val="left" w:pos="7513"/>
        </w:tabs>
        <w:ind w:left="-782" w:right="-782"/>
        <w:jc w:val="both"/>
        <w:rPr>
          <w:rFonts w:ascii="Arial" w:hAnsi="Arial" w:cs="Arial"/>
        </w:rPr>
      </w:pPr>
      <w:r w:rsidRPr="00A920FF">
        <w:rPr>
          <w:rFonts w:ascii="Arial" w:hAnsi="Arial" w:cs="Arial"/>
        </w:rPr>
        <w:t>The City Archives holds those records of the Council and the Corporation of the City of Adelaide that have been selected for permanent preservation. To facilitate access to information by researchers, the Archives has prepared detailed Context Unit Registrations which form part of the archival finding aids.</w:t>
      </w:r>
    </w:p>
    <w:p w14:paraId="2F903EBA" w14:textId="77777777" w:rsidR="00A920FF" w:rsidRPr="00A920FF" w:rsidRDefault="00A920FF" w:rsidP="00665A5C">
      <w:pPr>
        <w:tabs>
          <w:tab w:val="left" w:pos="-1134"/>
          <w:tab w:val="left" w:pos="7513"/>
          <w:tab w:val="left" w:pos="8647"/>
        </w:tabs>
        <w:ind w:left="-782" w:right="-782"/>
        <w:jc w:val="both"/>
        <w:rPr>
          <w:rFonts w:ascii="Arial" w:hAnsi="Arial" w:cs="Arial"/>
          <w:sz w:val="16"/>
        </w:rPr>
      </w:pPr>
    </w:p>
    <w:p w14:paraId="4BC328B5" w14:textId="77777777" w:rsidR="00A920FF" w:rsidRPr="00A920FF" w:rsidRDefault="00A920FF" w:rsidP="00665A5C">
      <w:pPr>
        <w:tabs>
          <w:tab w:val="left" w:pos="-1134"/>
          <w:tab w:val="left" w:pos="7513"/>
        </w:tabs>
        <w:ind w:left="-782" w:right="-782"/>
        <w:jc w:val="both"/>
        <w:rPr>
          <w:rFonts w:ascii="Arial" w:hAnsi="Arial" w:cs="Arial"/>
        </w:rPr>
      </w:pPr>
      <w:r w:rsidRPr="00A920FF">
        <w:rPr>
          <w:rFonts w:ascii="Arial" w:hAnsi="Arial" w:cs="Arial"/>
        </w:rPr>
        <w:t xml:space="preserve">Essentially the Context Unit Registrations attempt to link records to the administrative context in which they were originally created and used. </w:t>
      </w:r>
    </w:p>
    <w:p w14:paraId="18FD7801" w14:textId="77777777" w:rsidR="00A920FF" w:rsidRPr="00A920FF" w:rsidRDefault="00A920FF" w:rsidP="00665A5C">
      <w:pPr>
        <w:tabs>
          <w:tab w:val="left" w:pos="-1134"/>
          <w:tab w:val="left" w:pos="7513"/>
        </w:tabs>
        <w:ind w:left="-782" w:right="-782"/>
        <w:jc w:val="both"/>
        <w:rPr>
          <w:rFonts w:ascii="Arial" w:hAnsi="Arial" w:cs="Arial"/>
          <w:sz w:val="16"/>
        </w:rPr>
      </w:pPr>
    </w:p>
    <w:p w14:paraId="4EF18672" w14:textId="264CF067" w:rsidR="00A920FF" w:rsidRPr="00A920FF" w:rsidRDefault="00A920FF" w:rsidP="00665A5C">
      <w:pPr>
        <w:tabs>
          <w:tab w:val="left" w:pos="-1134"/>
          <w:tab w:val="left" w:pos="7513"/>
        </w:tabs>
        <w:ind w:left="-782" w:right="-782"/>
        <w:jc w:val="both"/>
        <w:rPr>
          <w:rFonts w:ascii="Arial" w:hAnsi="Arial" w:cs="Arial"/>
          <w:i/>
        </w:rPr>
      </w:pPr>
      <w:r w:rsidRPr="00A920FF">
        <w:rPr>
          <w:rFonts w:ascii="Arial" w:hAnsi="Arial" w:cs="Arial"/>
          <w:i/>
        </w:rPr>
        <w:t>A Context Unit can best be described as any person or part of the organisation (i.e. the Council or Corporation) which has produced or maintained records as part of their day to day operational activities.</w:t>
      </w:r>
      <w:r>
        <w:rPr>
          <w:rFonts w:ascii="Arial" w:hAnsi="Arial" w:cs="Arial"/>
          <w:i/>
        </w:rPr>
        <w:t xml:space="preserve"> </w:t>
      </w:r>
    </w:p>
    <w:p w14:paraId="22BF9337" w14:textId="77777777" w:rsidR="00A920FF" w:rsidRPr="00A920FF" w:rsidRDefault="00A920FF" w:rsidP="00665A5C">
      <w:pPr>
        <w:tabs>
          <w:tab w:val="left" w:pos="-1134"/>
          <w:tab w:val="left" w:pos="7513"/>
        </w:tabs>
        <w:ind w:left="-782" w:right="-782"/>
        <w:jc w:val="both"/>
        <w:rPr>
          <w:rFonts w:ascii="Arial" w:hAnsi="Arial" w:cs="Arial"/>
          <w:i/>
        </w:rPr>
      </w:pPr>
    </w:p>
    <w:p w14:paraId="2A7F699E" w14:textId="582712AD" w:rsidR="00A920FF" w:rsidRPr="00A920FF" w:rsidRDefault="00A920FF" w:rsidP="00665A5C">
      <w:pPr>
        <w:tabs>
          <w:tab w:val="left" w:pos="-1134"/>
          <w:tab w:val="left" w:pos="7513"/>
        </w:tabs>
        <w:ind w:left="-782" w:right="-782"/>
        <w:jc w:val="both"/>
        <w:rPr>
          <w:rFonts w:ascii="Arial" w:hAnsi="Arial" w:cs="Arial"/>
        </w:rPr>
      </w:pPr>
      <w:r w:rsidRPr="00A920FF">
        <w:rPr>
          <w:rFonts w:ascii="Arial" w:hAnsi="Arial" w:cs="Arial"/>
        </w:rPr>
        <w:t>Thus, any program, department, division, committee, section, team, working party, Corporation officer or Council Member may be registered as a Context Unit provided they have been the creator or user of records within ACC.</w:t>
      </w:r>
    </w:p>
    <w:p w14:paraId="7503948F" w14:textId="77777777" w:rsidR="00A920FF" w:rsidRPr="00A920FF" w:rsidRDefault="00A920FF" w:rsidP="00665A5C">
      <w:pPr>
        <w:tabs>
          <w:tab w:val="left" w:pos="-1134"/>
        </w:tabs>
        <w:ind w:left="-782" w:right="-782"/>
        <w:jc w:val="both"/>
        <w:rPr>
          <w:rFonts w:ascii="Arial" w:hAnsi="Arial" w:cs="Arial"/>
          <w:sz w:val="16"/>
        </w:rPr>
      </w:pPr>
    </w:p>
    <w:p w14:paraId="25671AB3" w14:textId="74850745" w:rsidR="00A920FF" w:rsidRPr="00A920FF" w:rsidRDefault="00A920FF" w:rsidP="00665A5C">
      <w:pPr>
        <w:tabs>
          <w:tab w:val="left" w:pos="-1134"/>
        </w:tabs>
        <w:ind w:left="-782" w:right="-782"/>
        <w:jc w:val="both"/>
        <w:rPr>
          <w:rFonts w:ascii="Arial" w:hAnsi="Arial" w:cs="Arial"/>
        </w:rPr>
      </w:pPr>
      <w:r w:rsidRPr="00A920FF">
        <w:rPr>
          <w:rFonts w:ascii="Arial" w:hAnsi="Arial" w:cs="Arial"/>
        </w:rPr>
        <w:t>Each of the Context Unit Registrations comprises a brief administrative history of the Unit, together with an inventory of the accessions of records that have been created or used by that particular Context Unit.</w:t>
      </w:r>
      <w:r>
        <w:rPr>
          <w:rFonts w:ascii="Arial" w:hAnsi="Arial" w:cs="Arial"/>
        </w:rPr>
        <w:t xml:space="preserve"> </w:t>
      </w:r>
      <w:r w:rsidRPr="00A920FF">
        <w:rPr>
          <w:rFonts w:ascii="Arial" w:hAnsi="Arial" w:cs="Arial"/>
        </w:rPr>
        <w:t xml:space="preserve">So far about 160 Context Units have been registered, ranging from Thomas </w:t>
      </w:r>
      <w:proofErr w:type="spellStart"/>
      <w:r w:rsidRPr="00A920FF">
        <w:rPr>
          <w:rFonts w:ascii="Arial" w:hAnsi="Arial" w:cs="Arial"/>
        </w:rPr>
        <w:t>Worsnop</w:t>
      </w:r>
      <w:proofErr w:type="spellEnd"/>
      <w:r w:rsidRPr="00A920FF">
        <w:rPr>
          <w:rFonts w:ascii="Arial" w:hAnsi="Arial" w:cs="Arial"/>
        </w:rPr>
        <w:t xml:space="preserve"> to the City of Adelaide Planning Commission.</w:t>
      </w:r>
      <w:r>
        <w:rPr>
          <w:rFonts w:ascii="Arial" w:hAnsi="Arial" w:cs="Arial"/>
        </w:rPr>
        <w:t xml:space="preserve"> </w:t>
      </w:r>
      <w:r w:rsidRPr="00A920FF">
        <w:rPr>
          <w:rFonts w:ascii="Arial" w:hAnsi="Arial" w:cs="Arial"/>
        </w:rPr>
        <w:t xml:space="preserve">We estimate that there may be over 7,000 Units for the Corporation as a whole from 1840 to the present. </w:t>
      </w:r>
    </w:p>
    <w:p w14:paraId="3DE90076" w14:textId="77777777" w:rsidR="00A920FF" w:rsidRPr="00A920FF" w:rsidRDefault="00A920FF" w:rsidP="00665A5C">
      <w:pPr>
        <w:tabs>
          <w:tab w:val="left" w:pos="-1134"/>
        </w:tabs>
        <w:ind w:left="-782" w:right="-782"/>
        <w:jc w:val="both"/>
        <w:rPr>
          <w:rFonts w:ascii="Arial" w:hAnsi="Arial" w:cs="Arial"/>
          <w:sz w:val="16"/>
        </w:rPr>
      </w:pPr>
    </w:p>
    <w:p w14:paraId="2EC372D4" w14:textId="77777777" w:rsidR="00A920FF" w:rsidRPr="00665A5C" w:rsidRDefault="00A920FF" w:rsidP="00665A5C">
      <w:pPr>
        <w:tabs>
          <w:tab w:val="left" w:pos="-1134"/>
        </w:tabs>
        <w:ind w:left="-782" w:right="-782"/>
        <w:jc w:val="both"/>
        <w:rPr>
          <w:rFonts w:ascii="Arial" w:hAnsi="Arial" w:cs="Arial"/>
          <w:b/>
        </w:rPr>
      </w:pPr>
      <w:r w:rsidRPr="00665A5C">
        <w:rPr>
          <w:rFonts w:ascii="Arial" w:hAnsi="Arial" w:cs="Arial"/>
          <w:b/>
        </w:rPr>
        <w:t>Functional Approach to Finding Information</w:t>
      </w:r>
    </w:p>
    <w:p w14:paraId="1B18FF31" w14:textId="262DF8C4" w:rsidR="00A920FF" w:rsidRPr="00A920FF" w:rsidRDefault="00A920FF" w:rsidP="00665A5C">
      <w:pPr>
        <w:tabs>
          <w:tab w:val="left" w:pos="-1134"/>
        </w:tabs>
        <w:ind w:left="-782" w:right="-782"/>
        <w:jc w:val="both"/>
        <w:rPr>
          <w:rFonts w:ascii="Arial" w:hAnsi="Arial" w:cs="Arial"/>
        </w:rPr>
      </w:pPr>
      <w:r w:rsidRPr="00A920FF">
        <w:rPr>
          <w:rFonts w:ascii="Arial" w:hAnsi="Arial" w:cs="Arial"/>
        </w:rPr>
        <w:t>Because of the sheer volume and complexity of archival records it is not really practical to produce a library style subject catalogue to them.</w:t>
      </w:r>
      <w:r>
        <w:rPr>
          <w:rFonts w:ascii="Arial" w:hAnsi="Arial" w:cs="Arial"/>
        </w:rPr>
        <w:t xml:space="preserve"> </w:t>
      </w:r>
      <w:r w:rsidRPr="00A920FF">
        <w:rPr>
          <w:rFonts w:ascii="Arial" w:hAnsi="Arial" w:cs="Arial"/>
        </w:rPr>
        <w:t>Instead, Archivists adopt a functional</w:t>
      </w:r>
      <w:r w:rsidRPr="00A920FF">
        <w:rPr>
          <w:rFonts w:ascii="Arial" w:hAnsi="Arial" w:cs="Arial"/>
          <w:b/>
          <w:i/>
        </w:rPr>
        <w:t xml:space="preserve"> </w:t>
      </w:r>
      <w:r w:rsidRPr="00A920FF">
        <w:rPr>
          <w:rFonts w:ascii="Arial" w:hAnsi="Arial" w:cs="Arial"/>
        </w:rPr>
        <w:t>approach</w:t>
      </w:r>
      <w:r w:rsidRPr="00A920FF">
        <w:rPr>
          <w:rFonts w:ascii="Arial" w:hAnsi="Arial" w:cs="Arial"/>
          <w:b/>
          <w:i/>
        </w:rPr>
        <w:t xml:space="preserve"> </w:t>
      </w:r>
      <w:r w:rsidRPr="00A920FF">
        <w:rPr>
          <w:rFonts w:ascii="Arial" w:hAnsi="Arial" w:cs="Arial"/>
        </w:rPr>
        <w:t>to finding information.</w:t>
      </w:r>
      <w:r>
        <w:rPr>
          <w:rFonts w:ascii="Arial" w:hAnsi="Arial" w:cs="Arial"/>
        </w:rPr>
        <w:t xml:space="preserve"> </w:t>
      </w:r>
      <w:r w:rsidRPr="00A920FF">
        <w:rPr>
          <w:rFonts w:ascii="Arial" w:hAnsi="Arial" w:cs="Arial"/>
        </w:rPr>
        <w:t>This approach seeks to establish linkages between the records and their creators.</w:t>
      </w:r>
    </w:p>
    <w:p w14:paraId="2902BBEA" w14:textId="77777777" w:rsidR="00A920FF" w:rsidRPr="00A920FF" w:rsidRDefault="00A920FF" w:rsidP="00665A5C">
      <w:pPr>
        <w:tabs>
          <w:tab w:val="left" w:pos="-1134"/>
        </w:tabs>
        <w:ind w:left="-782" w:right="-782"/>
        <w:jc w:val="both"/>
        <w:rPr>
          <w:rFonts w:ascii="Arial" w:hAnsi="Arial" w:cs="Arial"/>
          <w:sz w:val="16"/>
        </w:rPr>
      </w:pPr>
    </w:p>
    <w:p w14:paraId="68EFD3ED" w14:textId="2E085BD2" w:rsidR="00A920FF" w:rsidRPr="00665A5C" w:rsidRDefault="00A920FF" w:rsidP="00665A5C">
      <w:pPr>
        <w:tabs>
          <w:tab w:val="left" w:pos="-1134"/>
        </w:tabs>
        <w:ind w:left="-782" w:right="-782"/>
        <w:jc w:val="both"/>
        <w:rPr>
          <w:rFonts w:ascii="Arial" w:hAnsi="Arial" w:cs="Arial"/>
          <w:i/>
        </w:rPr>
      </w:pPr>
      <w:r w:rsidRPr="00665A5C">
        <w:rPr>
          <w:rFonts w:ascii="Arial" w:hAnsi="Arial" w:cs="Arial"/>
          <w:i/>
        </w:rPr>
        <w:t xml:space="preserve">A function may be defined as any type of activity carried out by an organisation (or any part of it, including its personnel) in the normal course of its operations. </w:t>
      </w:r>
    </w:p>
    <w:p w14:paraId="53A215B8" w14:textId="77777777" w:rsidR="00A920FF" w:rsidRPr="00A920FF" w:rsidRDefault="00A920FF" w:rsidP="00665A5C">
      <w:pPr>
        <w:tabs>
          <w:tab w:val="left" w:pos="-1134"/>
        </w:tabs>
        <w:ind w:left="-782" w:right="-782"/>
        <w:jc w:val="both"/>
        <w:rPr>
          <w:rFonts w:ascii="Arial" w:hAnsi="Arial" w:cs="Arial"/>
          <w:sz w:val="16"/>
        </w:rPr>
      </w:pPr>
    </w:p>
    <w:p w14:paraId="0C281FE5" w14:textId="6CB46613" w:rsidR="00A920FF" w:rsidRPr="00A920FF" w:rsidRDefault="00A920FF" w:rsidP="00665A5C">
      <w:pPr>
        <w:tabs>
          <w:tab w:val="left" w:pos="-1134"/>
        </w:tabs>
        <w:ind w:left="-782" w:right="-782"/>
        <w:jc w:val="both"/>
        <w:rPr>
          <w:rFonts w:ascii="Arial" w:hAnsi="Arial" w:cs="Arial"/>
        </w:rPr>
      </w:pPr>
      <w:r w:rsidRPr="00A920FF">
        <w:rPr>
          <w:rFonts w:ascii="Arial" w:hAnsi="Arial" w:cs="Arial"/>
        </w:rPr>
        <w:t>Archivists encourage researchers to think in terms of functions rather than subjects.</w:t>
      </w:r>
      <w:r>
        <w:rPr>
          <w:rFonts w:ascii="Arial" w:hAnsi="Arial" w:cs="Arial"/>
        </w:rPr>
        <w:t xml:space="preserve"> </w:t>
      </w:r>
      <w:r w:rsidRPr="00A920FF">
        <w:rPr>
          <w:rFonts w:ascii="Arial" w:hAnsi="Arial" w:cs="Arial"/>
        </w:rPr>
        <w:t>For example, suppose you want to find out about the history of Adelaide’s taxi cabs.</w:t>
      </w:r>
      <w:r>
        <w:rPr>
          <w:rFonts w:ascii="Arial" w:hAnsi="Arial" w:cs="Arial"/>
        </w:rPr>
        <w:t xml:space="preserve"> </w:t>
      </w:r>
      <w:r w:rsidRPr="00A920FF">
        <w:rPr>
          <w:rFonts w:ascii="Arial" w:hAnsi="Arial" w:cs="Arial"/>
        </w:rPr>
        <w:t xml:space="preserve">The first step towards locating archival records relevant to this subject is to convert it to a related function - in this case the appropriate Corporation function is that of </w:t>
      </w:r>
      <w:r w:rsidRPr="00A920FF">
        <w:rPr>
          <w:rFonts w:ascii="Arial" w:hAnsi="Arial" w:cs="Arial"/>
          <w:i/>
        </w:rPr>
        <w:t>licensing</w:t>
      </w:r>
      <w:r w:rsidRPr="00A920FF">
        <w:rPr>
          <w:rFonts w:ascii="Arial" w:hAnsi="Arial" w:cs="Arial"/>
        </w:rPr>
        <w:t>.</w:t>
      </w:r>
      <w:r>
        <w:rPr>
          <w:rFonts w:ascii="Arial" w:hAnsi="Arial" w:cs="Arial"/>
        </w:rPr>
        <w:t xml:space="preserve"> </w:t>
      </w:r>
      <w:r w:rsidRPr="00A920FF">
        <w:rPr>
          <w:rFonts w:ascii="Arial" w:hAnsi="Arial" w:cs="Arial"/>
        </w:rPr>
        <w:t>It’s important to discuss the subject you’re researching with the Archivist who will be able to assist with this conversion process.</w:t>
      </w:r>
    </w:p>
    <w:p w14:paraId="7A5C44D1" w14:textId="77777777" w:rsidR="00A920FF" w:rsidRPr="00A920FF" w:rsidRDefault="00A920FF" w:rsidP="00665A5C">
      <w:pPr>
        <w:tabs>
          <w:tab w:val="left" w:pos="-1134"/>
        </w:tabs>
        <w:ind w:left="-782" w:right="-782"/>
        <w:jc w:val="both"/>
        <w:rPr>
          <w:rFonts w:ascii="Arial" w:hAnsi="Arial" w:cs="Arial"/>
        </w:rPr>
      </w:pPr>
    </w:p>
    <w:p w14:paraId="40C901B5" w14:textId="4A5CBF52" w:rsidR="00A920FF" w:rsidRPr="00A920FF" w:rsidRDefault="00A920FF" w:rsidP="00665A5C">
      <w:pPr>
        <w:tabs>
          <w:tab w:val="left" w:pos="-1134"/>
        </w:tabs>
        <w:ind w:left="-782" w:right="-782"/>
        <w:jc w:val="both"/>
        <w:rPr>
          <w:rFonts w:ascii="Arial" w:hAnsi="Arial" w:cs="Arial"/>
        </w:rPr>
      </w:pPr>
      <w:r w:rsidRPr="00A920FF">
        <w:rPr>
          <w:rFonts w:ascii="Arial" w:hAnsi="Arial" w:cs="Arial"/>
        </w:rPr>
        <w:t>Having identified the correct function, the next step is to determine which part(s) or person(s) within the organisation had responsibility for performing it.</w:t>
      </w:r>
      <w:r>
        <w:rPr>
          <w:rFonts w:ascii="Arial" w:hAnsi="Arial" w:cs="Arial"/>
        </w:rPr>
        <w:t xml:space="preserve"> </w:t>
      </w:r>
      <w:r w:rsidRPr="00A920FF">
        <w:rPr>
          <w:rFonts w:ascii="Arial" w:hAnsi="Arial" w:cs="Arial"/>
        </w:rPr>
        <w:t>That is, we have to decide which Context Unit(s) within the Corporation were most likely to have undertaken this activity.</w:t>
      </w:r>
      <w:r>
        <w:rPr>
          <w:rFonts w:ascii="Arial" w:hAnsi="Arial" w:cs="Arial"/>
        </w:rPr>
        <w:t xml:space="preserve"> </w:t>
      </w:r>
      <w:r w:rsidRPr="00A920FF">
        <w:rPr>
          <w:rFonts w:ascii="Arial" w:hAnsi="Arial" w:cs="Arial"/>
        </w:rPr>
        <w:t xml:space="preserve">In our example there are at least three possibilities, each of which seems to have been responsible for administering the licensing function at one time or another - namely, the Inspector of Vehicles (C_), the City Inspector’s Office (C54), and the Metropolitan Taxi Cab Board (C_). </w:t>
      </w:r>
    </w:p>
    <w:p w14:paraId="7A53594A" w14:textId="77777777" w:rsidR="00A920FF" w:rsidRPr="00A920FF" w:rsidRDefault="00A920FF" w:rsidP="00665A5C">
      <w:pPr>
        <w:tabs>
          <w:tab w:val="left" w:pos="-1134"/>
        </w:tabs>
        <w:ind w:left="-782" w:right="-782"/>
        <w:jc w:val="both"/>
        <w:rPr>
          <w:rFonts w:ascii="Arial" w:hAnsi="Arial" w:cs="Arial"/>
          <w:sz w:val="16"/>
        </w:rPr>
      </w:pPr>
    </w:p>
    <w:p w14:paraId="6A95523C" w14:textId="77777777" w:rsidR="00A920FF" w:rsidRPr="00A920FF" w:rsidRDefault="00A920FF" w:rsidP="00665A5C">
      <w:pPr>
        <w:tabs>
          <w:tab w:val="left" w:pos="-1134"/>
        </w:tabs>
        <w:ind w:left="-782" w:right="-782"/>
        <w:jc w:val="both"/>
        <w:rPr>
          <w:rFonts w:ascii="Arial" w:hAnsi="Arial" w:cs="Arial"/>
        </w:rPr>
      </w:pPr>
      <w:r w:rsidRPr="00A920FF">
        <w:rPr>
          <w:rFonts w:ascii="Arial" w:hAnsi="Arial" w:cs="Arial"/>
        </w:rPr>
        <w:t>To assist researchers in selecting the correct Context Unit(s) the Archives is in the process of developing a</w:t>
      </w:r>
      <w:r w:rsidRPr="00A920FF">
        <w:rPr>
          <w:rFonts w:ascii="Arial" w:hAnsi="Arial" w:cs="Arial"/>
          <w:i/>
        </w:rPr>
        <w:t xml:space="preserve"> Functional Index to Registered Context Units</w:t>
      </w:r>
      <w:r w:rsidRPr="00A920FF">
        <w:rPr>
          <w:rFonts w:ascii="Arial" w:hAnsi="Arial" w:cs="Arial"/>
        </w:rPr>
        <w:t xml:space="preserve">. </w:t>
      </w:r>
    </w:p>
    <w:p w14:paraId="7D80A66E" w14:textId="7D6AC1E2" w:rsidR="00A920FF" w:rsidRDefault="00A920FF" w:rsidP="00665A5C">
      <w:pPr>
        <w:tabs>
          <w:tab w:val="left" w:pos="-1134"/>
        </w:tabs>
        <w:ind w:left="-782" w:right="-782"/>
        <w:jc w:val="both"/>
        <w:rPr>
          <w:rFonts w:ascii="Arial" w:hAnsi="Arial" w:cs="Arial"/>
        </w:rPr>
      </w:pPr>
    </w:p>
    <w:p w14:paraId="039CE3C8" w14:textId="34DB19B1" w:rsidR="00665A5C" w:rsidRDefault="00665A5C" w:rsidP="00665A5C">
      <w:pPr>
        <w:tabs>
          <w:tab w:val="left" w:pos="-1134"/>
        </w:tabs>
        <w:ind w:left="-782" w:right="-782"/>
        <w:jc w:val="both"/>
        <w:rPr>
          <w:rFonts w:ascii="Arial" w:hAnsi="Arial" w:cs="Arial"/>
        </w:rPr>
      </w:pPr>
    </w:p>
    <w:p w14:paraId="54757151" w14:textId="77777777" w:rsidR="00665A5C" w:rsidRPr="00A920FF" w:rsidRDefault="00665A5C" w:rsidP="00665A5C">
      <w:pPr>
        <w:tabs>
          <w:tab w:val="left" w:pos="-1134"/>
        </w:tabs>
        <w:ind w:left="-782" w:right="-782"/>
        <w:jc w:val="both"/>
        <w:rPr>
          <w:rFonts w:ascii="Arial" w:hAnsi="Arial" w:cs="Arial"/>
        </w:rPr>
      </w:pPr>
    </w:p>
    <w:p w14:paraId="4B7DB39C" w14:textId="77777777" w:rsidR="00A920FF" w:rsidRPr="00A920FF" w:rsidRDefault="00A920FF" w:rsidP="00665A5C">
      <w:pPr>
        <w:tabs>
          <w:tab w:val="left" w:pos="-1134"/>
        </w:tabs>
        <w:ind w:left="-782" w:right="-782"/>
        <w:jc w:val="both"/>
        <w:rPr>
          <w:rFonts w:ascii="Arial" w:hAnsi="Arial" w:cs="Arial"/>
          <w:sz w:val="16"/>
        </w:rPr>
      </w:pPr>
    </w:p>
    <w:p w14:paraId="30604602" w14:textId="77777777" w:rsidR="00A920FF" w:rsidRPr="00665A5C" w:rsidRDefault="00A920FF" w:rsidP="00665A5C">
      <w:pPr>
        <w:ind w:left="-782" w:right="-782"/>
        <w:jc w:val="both"/>
        <w:rPr>
          <w:rFonts w:ascii="Arial" w:hAnsi="Arial" w:cs="Arial"/>
          <w:b/>
        </w:rPr>
      </w:pPr>
      <w:r w:rsidRPr="00665A5C">
        <w:rPr>
          <w:rFonts w:ascii="Arial" w:hAnsi="Arial" w:cs="Arial"/>
          <w:b/>
        </w:rPr>
        <w:lastRenderedPageBreak/>
        <w:t>Context Unit Manuals</w:t>
      </w:r>
    </w:p>
    <w:p w14:paraId="786A8880" w14:textId="5B7E5CB0" w:rsidR="00A920FF" w:rsidRPr="00A920FF" w:rsidRDefault="00A920FF" w:rsidP="00665A5C">
      <w:pPr>
        <w:ind w:left="-782" w:right="-782"/>
        <w:jc w:val="both"/>
        <w:rPr>
          <w:rFonts w:ascii="Arial" w:hAnsi="Arial" w:cs="Arial"/>
        </w:rPr>
      </w:pPr>
      <w:r w:rsidRPr="00A920FF">
        <w:rPr>
          <w:rFonts w:ascii="Arial" w:hAnsi="Arial" w:cs="Arial"/>
        </w:rPr>
        <w:t>Once the appropriate Context Unit(s) have been identified, you can then proceed to the relevant Context Unit Manual(s). These are kept in the City Archives’ reading room.</w:t>
      </w:r>
      <w:r>
        <w:rPr>
          <w:rFonts w:ascii="Arial" w:hAnsi="Arial" w:cs="Arial"/>
        </w:rPr>
        <w:t xml:space="preserve"> </w:t>
      </w:r>
      <w:r w:rsidRPr="00A920FF">
        <w:rPr>
          <w:rFonts w:ascii="Arial" w:hAnsi="Arial" w:cs="Arial"/>
        </w:rPr>
        <w:t>Each Manual comprises ten Context Unit Registrations.</w:t>
      </w:r>
      <w:r>
        <w:rPr>
          <w:rFonts w:ascii="Arial" w:hAnsi="Arial" w:cs="Arial"/>
        </w:rPr>
        <w:t xml:space="preserve"> </w:t>
      </w:r>
      <w:r w:rsidRPr="00A920FF">
        <w:rPr>
          <w:rFonts w:ascii="Arial" w:hAnsi="Arial" w:cs="Arial"/>
        </w:rPr>
        <w:t>A Registration normally consists of a brief administrative history of the Context Unit, providing dates and details of its existence, its organisational structure and functional responsibilities.</w:t>
      </w:r>
    </w:p>
    <w:p w14:paraId="2A03852C" w14:textId="77777777" w:rsidR="00A920FF" w:rsidRPr="00A920FF" w:rsidRDefault="00A920FF" w:rsidP="00665A5C">
      <w:pPr>
        <w:ind w:left="-782" w:right="-782"/>
        <w:jc w:val="both"/>
        <w:rPr>
          <w:rFonts w:ascii="Arial" w:hAnsi="Arial" w:cs="Arial"/>
        </w:rPr>
      </w:pPr>
    </w:p>
    <w:p w14:paraId="6418A766" w14:textId="48C90DC9" w:rsidR="00A920FF" w:rsidRPr="00A920FF" w:rsidRDefault="00A920FF" w:rsidP="00665A5C">
      <w:pPr>
        <w:ind w:left="-782" w:right="-782"/>
        <w:jc w:val="both"/>
        <w:rPr>
          <w:rFonts w:ascii="Arial" w:hAnsi="Arial" w:cs="Arial"/>
        </w:rPr>
      </w:pPr>
      <w:r w:rsidRPr="00A920FF">
        <w:rPr>
          <w:rFonts w:ascii="Arial" w:hAnsi="Arial" w:cs="Arial"/>
        </w:rPr>
        <w:t>Unfortunately, detailed registrations have not yet been completed for all Context Units, but most of the major historic ones (like the Town Clerk’s Department, the City Engineer’s Department and the City Treasurer’s Department) have been recorded.</w:t>
      </w:r>
    </w:p>
    <w:p w14:paraId="20DAD9A9" w14:textId="77777777" w:rsidR="00A920FF" w:rsidRPr="00A920FF" w:rsidRDefault="00A920FF" w:rsidP="00665A5C">
      <w:pPr>
        <w:ind w:left="-782" w:right="-782"/>
        <w:jc w:val="both"/>
        <w:rPr>
          <w:rFonts w:ascii="Arial" w:hAnsi="Arial" w:cs="Arial"/>
          <w:sz w:val="16"/>
        </w:rPr>
      </w:pPr>
    </w:p>
    <w:p w14:paraId="06DCE790" w14:textId="79B5E2D0" w:rsidR="00A920FF" w:rsidRPr="00A920FF" w:rsidRDefault="00A920FF" w:rsidP="00665A5C">
      <w:pPr>
        <w:ind w:left="-782" w:right="-782"/>
        <w:jc w:val="both"/>
        <w:rPr>
          <w:rFonts w:ascii="Arial" w:hAnsi="Arial" w:cs="Arial"/>
        </w:rPr>
      </w:pPr>
      <w:r w:rsidRPr="00A920FF">
        <w:rPr>
          <w:rFonts w:ascii="Arial" w:hAnsi="Arial" w:cs="Arial"/>
        </w:rPr>
        <w:t>But the Context Unit Manuals do more than this.</w:t>
      </w:r>
      <w:r>
        <w:rPr>
          <w:rFonts w:ascii="Arial" w:hAnsi="Arial" w:cs="Arial"/>
        </w:rPr>
        <w:t xml:space="preserve"> </w:t>
      </w:r>
      <w:r w:rsidRPr="00A920FF">
        <w:rPr>
          <w:rFonts w:ascii="Arial" w:hAnsi="Arial" w:cs="Arial"/>
        </w:rPr>
        <w:t xml:space="preserve">They also act as a working link between the </w:t>
      </w:r>
      <w:r w:rsidRPr="00A920FF">
        <w:rPr>
          <w:rFonts w:ascii="Arial" w:hAnsi="Arial" w:cs="Arial"/>
          <w:i/>
        </w:rPr>
        <w:t>records</w:t>
      </w:r>
      <w:r w:rsidRPr="00A920FF">
        <w:rPr>
          <w:rFonts w:ascii="Arial" w:hAnsi="Arial" w:cs="Arial"/>
        </w:rPr>
        <w:t xml:space="preserve"> and their </w:t>
      </w:r>
      <w:r w:rsidRPr="00A920FF">
        <w:rPr>
          <w:rFonts w:ascii="Arial" w:hAnsi="Arial" w:cs="Arial"/>
          <w:i/>
        </w:rPr>
        <w:t>context</w:t>
      </w:r>
      <w:r w:rsidRPr="00A920FF">
        <w:rPr>
          <w:rFonts w:ascii="Arial" w:hAnsi="Arial" w:cs="Arial"/>
        </w:rPr>
        <w:t>.</w:t>
      </w:r>
      <w:r>
        <w:rPr>
          <w:rFonts w:ascii="Arial" w:hAnsi="Arial" w:cs="Arial"/>
        </w:rPr>
        <w:t xml:space="preserve"> </w:t>
      </w:r>
      <w:r w:rsidRPr="00A920FF">
        <w:rPr>
          <w:rFonts w:ascii="Arial" w:hAnsi="Arial" w:cs="Arial"/>
        </w:rPr>
        <w:t>They do this by including an Inventory of Preliminary Accessions / Record Series for each Context Unit that is registered.</w:t>
      </w:r>
      <w:r>
        <w:rPr>
          <w:rFonts w:ascii="Arial" w:hAnsi="Arial" w:cs="Arial"/>
        </w:rPr>
        <w:t xml:space="preserve"> </w:t>
      </w:r>
      <w:r w:rsidRPr="00A920FF">
        <w:rPr>
          <w:rFonts w:ascii="Arial" w:hAnsi="Arial" w:cs="Arial"/>
        </w:rPr>
        <w:t>In other words, they provide a list of records held by the Archives which have been created or used by each Context Unit appearing in the Manuals (Preliminary Accession / Record Series are terms used by Archivists to facilitate the transfer and processing of records).</w:t>
      </w:r>
    </w:p>
    <w:p w14:paraId="63AC3782" w14:textId="77777777" w:rsidR="00A920FF" w:rsidRPr="00A920FF" w:rsidRDefault="00A920FF" w:rsidP="00665A5C">
      <w:pPr>
        <w:ind w:left="-782" w:right="-782"/>
        <w:jc w:val="both"/>
        <w:rPr>
          <w:rFonts w:ascii="Arial" w:hAnsi="Arial" w:cs="Arial"/>
          <w:sz w:val="16"/>
        </w:rPr>
      </w:pPr>
    </w:p>
    <w:p w14:paraId="60DA58E8" w14:textId="7D154F65" w:rsidR="00A920FF" w:rsidRPr="00A920FF" w:rsidRDefault="00A920FF" w:rsidP="00665A5C">
      <w:pPr>
        <w:ind w:left="-782" w:right="-782"/>
        <w:jc w:val="both"/>
        <w:rPr>
          <w:rFonts w:ascii="Arial" w:hAnsi="Arial" w:cs="Arial"/>
          <w:sz w:val="16"/>
        </w:rPr>
      </w:pPr>
      <w:r w:rsidRPr="00A920FF">
        <w:rPr>
          <w:rFonts w:ascii="Arial" w:hAnsi="Arial" w:cs="Arial"/>
        </w:rPr>
        <w:t>You will find that in addition to a description and date range of the record, each entry appearing in the Inventory has been given an</w:t>
      </w:r>
      <w:r w:rsidRPr="00A920FF">
        <w:rPr>
          <w:rFonts w:ascii="Arial" w:hAnsi="Arial" w:cs="Arial"/>
          <w:b/>
          <w:i/>
        </w:rPr>
        <w:t xml:space="preserve"> </w:t>
      </w:r>
      <w:r w:rsidRPr="00A920FF">
        <w:rPr>
          <w:rFonts w:ascii="Arial" w:hAnsi="Arial" w:cs="Arial"/>
        </w:rPr>
        <w:t>Accession Number, which is the number you should quote when requesting to see the record.</w:t>
      </w:r>
      <w:r>
        <w:rPr>
          <w:rFonts w:ascii="Arial" w:hAnsi="Arial" w:cs="Arial"/>
        </w:rPr>
        <w:t xml:space="preserve"> </w:t>
      </w:r>
      <w:r w:rsidRPr="00A920FF">
        <w:rPr>
          <w:rFonts w:ascii="Arial" w:hAnsi="Arial" w:cs="Arial"/>
        </w:rPr>
        <w:t>Thus, in the case of our taxicab licensing, you may have looked at the Context Unit Registration for the City Inspector’s Office (C54) and decided that you would like to see the Licensing Officer’s Journal for 1860 to 1875.</w:t>
      </w:r>
      <w:r>
        <w:rPr>
          <w:rFonts w:ascii="Arial" w:hAnsi="Arial" w:cs="Arial"/>
        </w:rPr>
        <w:t xml:space="preserve"> </w:t>
      </w:r>
      <w:r w:rsidRPr="00A920FF">
        <w:rPr>
          <w:rFonts w:ascii="Arial" w:hAnsi="Arial" w:cs="Arial"/>
        </w:rPr>
        <w:t>The Accession Number for this record is shown as being 653, which enables it to be located by the Archives.</w:t>
      </w:r>
      <w:r w:rsidRPr="00A920FF">
        <w:rPr>
          <w:rFonts w:ascii="Arial" w:hAnsi="Arial" w:cs="Arial"/>
        </w:rPr>
        <w:tab/>
      </w:r>
      <w:r w:rsidRPr="00A920FF">
        <w:rPr>
          <w:rFonts w:ascii="Arial" w:hAnsi="Arial" w:cs="Arial"/>
        </w:rPr>
        <w:tab/>
      </w:r>
      <w:r w:rsidRPr="00A920FF">
        <w:rPr>
          <w:rFonts w:ascii="Arial" w:hAnsi="Arial" w:cs="Arial"/>
        </w:rPr>
        <w:tab/>
      </w:r>
      <w:r w:rsidRPr="00A920FF">
        <w:rPr>
          <w:rFonts w:ascii="Arial" w:hAnsi="Arial" w:cs="Arial"/>
        </w:rPr>
        <w:tab/>
      </w:r>
      <w:r w:rsidRPr="00A920FF">
        <w:rPr>
          <w:rFonts w:ascii="Arial" w:hAnsi="Arial" w:cs="Arial"/>
        </w:rPr>
        <w:tab/>
      </w:r>
      <w:r w:rsidRPr="00A920FF">
        <w:rPr>
          <w:rFonts w:ascii="Arial" w:hAnsi="Arial" w:cs="Arial"/>
        </w:rPr>
        <w:tab/>
      </w:r>
      <w:r w:rsidRPr="00A920FF">
        <w:rPr>
          <w:rFonts w:ascii="Arial" w:hAnsi="Arial" w:cs="Arial"/>
        </w:rPr>
        <w:tab/>
      </w:r>
      <w:r w:rsidRPr="00A920FF">
        <w:rPr>
          <w:rFonts w:ascii="Arial" w:hAnsi="Arial" w:cs="Arial"/>
        </w:rPr>
        <w:tab/>
      </w:r>
      <w:r w:rsidRPr="00A920FF">
        <w:rPr>
          <w:rFonts w:ascii="Arial" w:hAnsi="Arial" w:cs="Arial"/>
        </w:rPr>
        <w:tab/>
      </w:r>
      <w:r w:rsidRPr="00A920FF">
        <w:rPr>
          <w:rFonts w:ascii="Arial" w:hAnsi="Arial" w:cs="Arial"/>
        </w:rPr>
        <w:tab/>
      </w:r>
      <w:r w:rsidRPr="00A920FF">
        <w:rPr>
          <w:rFonts w:ascii="Arial" w:hAnsi="Arial" w:cs="Arial"/>
        </w:rPr>
        <w:tab/>
      </w:r>
      <w:r w:rsidRPr="00A920FF">
        <w:rPr>
          <w:rFonts w:ascii="Arial" w:hAnsi="Arial" w:cs="Arial"/>
          <w:sz w:val="16"/>
        </w:rPr>
        <w:tab/>
      </w:r>
      <w:r w:rsidRPr="00A920FF">
        <w:rPr>
          <w:rFonts w:ascii="Arial" w:hAnsi="Arial" w:cs="Arial"/>
          <w:sz w:val="16"/>
        </w:rPr>
        <w:tab/>
      </w:r>
    </w:p>
    <w:p w14:paraId="33919E97" w14:textId="47CF8EBE" w:rsidR="00A920FF" w:rsidRPr="00A920FF" w:rsidRDefault="00A920FF" w:rsidP="00665A5C">
      <w:pPr>
        <w:ind w:left="-782" w:right="-782"/>
        <w:jc w:val="both"/>
        <w:rPr>
          <w:rFonts w:ascii="Arial" w:hAnsi="Arial" w:cs="Arial"/>
        </w:rPr>
      </w:pPr>
      <w:r w:rsidRPr="00A920FF">
        <w:rPr>
          <w:rFonts w:ascii="Arial" w:hAnsi="Arial" w:cs="Arial"/>
        </w:rPr>
        <w:t>Having selected the record(s) which you feel are most likely to contain relevant information, you should next fill out a Record Request Form (Form A46) and hand it to the Archivist.</w:t>
      </w:r>
      <w:r>
        <w:rPr>
          <w:rFonts w:ascii="Arial" w:hAnsi="Arial" w:cs="Arial"/>
        </w:rPr>
        <w:t xml:space="preserve"> </w:t>
      </w:r>
      <w:r w:rsidRPr="00A920FF">
        <w:rPr>
          <w:rFonts w:ascii="Arial" w:hAnsi="Arial" w:cs="Arial"/>
        </w:rPr>
        <w:t>Don’t forget to include the Accession Number of the record when doing this.</w:t>
      </w:r>
    </w:p>
    <w:p w14:paraId="35B09373" w14:textId="77777777" w:rsidR="00932D05" w:rsidRPr="00A920FF" w:rsidRDefault="00932D05" w:rsidP="00665A5C">
      <w:pPr>
        <w:ind w:left="-782" w:right="-782"/>
        <w:jc w:val="both"/>
        <w:rPr>
          <w:rFonts w:ascii="Arial" w:hAnsi="Arial" w:cs="Arial"/>
          <w:b/>
          <w:color w:val="0070C0"/>
          <w:sz w:val="20"/>
          <w:szCs w:val="20"/>
        </w:rPr>
      </w:pPr>
    </w:p>
    <w:p w14:paraId="249B585D" w14:textId="77777777" w:rsidR="00932D05" w:rsidRPr="00665A5C" w:rsidRDefault="00932D05" w:rsidP="00665A5C">
      <w:pPr>
        <w:ind w:left="-782" w:right="-782"/>
        <w:rPr>
          <w:rFonts w:ascii="Arial" w:hAnsi="Arial" w:cs="Arial"/>
          <w:b/>
        </w:rPr>
      </w:pPr>
      <w:r w:rsidRPr="00665A5C">
        <w:rPr>
          <w:rFonts w:ascii="Arial" w:hAnsi="Arial" w:cs="Arial"/>
          <w:b/>
        </w:rPr>
        <w:t>Further Information</w:t>
      </w:r>
    </w:p>
    <w:p w14:paraId="5E6950FF" w14:textId="0B909789" w:rsidR="00932D05" w:rsidRPr="003E3137" w:rsidRDefault="00932D05" w:rsidP="00665A5C">
      <w:pPr>
        <w:ind w:left="-782" w:right="-782"/>
        <w:rPr>
          <w:rFonts w:ascii="Arial" w:hAnsi="Arial" w:cs="Arial"/>
        </w:rPr>
      </w:pPr>
      <w:r w:rsidRPr="003E3137">
        <w:rPr>
          <w:rFonts w:ascii="Arial" w:hAnsi="Arial" w:cs="Arial"/>
          <w:b/>
        </w:rPr>
        <w:t>City Archives:</w:t>
      </w:r>
      <w:r w:rsidRPr="003E3137">
        <w:rPr>
          <w:rFonts w:ascii="Arial" w:hAnsi="Arial" w:cs="Arial"/>
        </w:rPr>
        <w:t xml:space="preserve"> Topham Mall, off Currie and Waymouth Streets, Adelaide</w:t>
      </w:r>
    </w:p>
    <w:p w14:paraId="167DEBAA" w14:textId="77777777" w:rsidR="00932D05" w:rsidRPr="003E3137" w:rsidRDefault="00932D05" w:rsidP="00665A5C">
      <w:pPr>
        <w:ind w:left="-782" w:right="-782"/>
        <w:rPr>
          <w:rFonts w:ascii="Arial" w:hAnsi="Arial" w:cs="Arial"/>
        </w:rPr>
      </w:pPr>
      <w:r w:rsidRPr="003E3137">
        <w:rPr>
          <w:rFonts w:ascii="Arial" w:hAnsi="Arial" w:cs="Arial"/>
          <w:b/>
        </w:rPr>
        <w:t xml:space="preserve">Counter / telephone enquiries: </w:t>
      </w:r>
      <w:r w:rsidRPr="003E3137">
        <w:rPr>
          <w:rFonts w:ascii="Arial" w:hAnsi="Arial" w:cs="Arial"/>
        </w:rPr>
        <w:t>9</w:t>
      </w:r>
      <w:r w:rsidRPr="003E3137">
        <w:rPr>
          <w:rFonts w:ascii="Arial" w:hAnsi="Arial" w:cs="Arial"/>
          <w:b/>
        </w:rPr>
        <w:t>.</w:t>
      </w:r>
      <w:r w:rsidRPr="003E3137">
        <w:rPr>
          <w:rFonts w:ascii="Arial" w:hAnsi="Arial" w:cs="Arial"/>
        </w:rPr>
        <w:t>00 am to 5.00 pm Mondays to Fridays</w:t>
      </w:r>
    </w:p>
    <w:p w14:paraId="650E66F6" w14:textId="77777777" w:rsidR="00932D05" w:rsidRPr="003E3137" w:rsidRDefault="00932D05" w:rsidP="00665A5C">
      <w:pPr>
        <w:ind w:left="-782" w:right="-782"/>
        <w:rPr>
          <w:rFonts w:ascii="Arial" w:hAnsi="Arial" w:cs="Arial"/>
        </w:rPr>
      </w:pPr>
      <w:r w:rsidRPr="003E3137">
        <w:rPr>
          <w:rFonts w:ascii="Arial" w:hAnsi="Arial" w:cs="Arial"/>
          <w:b/>
        </w:rPr>
        <w:t>Search Room open for public research:</w:t>
      </w:r>
      <w:r w:rsidRPr="003E3137">
        <w:rPr>
          <w:rFonts w:ascii="Arial" w:hAnsi="Arial" w:cs="Arial"/>
        </w:rPr>
        <w:t>10.00 am to 4.00 pm Tuesdays to Thursdays</w:t>
      </w:r>
    </w:p>
    <w:p w14:paraId="1D3FDE59" w14:textId="77777777" w:rsidR="00076EE9" w:rsidRDefault="00932D05" w:rsidP="00076EE9">
      <w:pPr>
        <w:ind w:left="-782" w:right="-782"/>
        <w:rPr>
          <w:rFonts w:ascii="Arial" w:hAnsi="Arial" w:cs="Arial"/>
        </w:rPr>
      </w:pPr>
      <w:r w:rsidRPr="003E3137">
        <w:rPr>
          <w:rFonts w:ascii="Arial" w:hAnsi="Arial" w:cs="Arial"/>
          <w:b/>
        </w:rPr>
        <w:t>Telephone:</w:t>
      </w:r>
      <w:r w:rsidR="003E3137">
        <w:rPr>
          <w:rFonts w:ascii="Arial" w:hAnsi="Arial" w:cs="Arial"/>
        </w:rPr>
        <w:t xml:space="preserve"> </w:t>
      </w:r>
      <w:r w:rsidRPr="003E3137">
        <w:rPr>
          <w:rFonts w:ascii="Arial" w:hAnsi="Arial" w:cs="Arial"/>
        </w:rPr>
        <w:t>+618 8203 7439</w:t>
      </w:r>
    </w:p>
    <w:p w14:paraId="5C958D23" w14:textId="3D43048D" w:rsidR="00076EE9" w:rsidRDefault="00076EE9" w:rsidP="00076EE9">
      <w:pPr>
        <w:ind w:left="-782" w:right="-782"/>
        <w:rPr>
          <w:rFonts w:ascii="Arial" w:hAnsi="Arial" w:cs="Arial"/>
          <w:b/>
        </w:rPr>
      </w:pPr>
      <w:r w:rsidRPr="00076EE9">
        <w:rPr>
          <w:rFonts w:ascii="Arial" w:hAnsi="Arial" w:cs="Arial"/>
          <w:b/>
        </w:rPr>
        <w:t xml:space="preserve">Email: </w:t>
      </w:r>
      <w:hyperlink r:id="rId11" w:history="1">
        <w:r w:rsidRPr="00076EE9">
          <w:rPr>
            <w:rStyle w:val="Hyperlink"/>
            <w:rFonts w:ascii="Arial" w:hAnsi="Arial" w:cs="Arial"/>
          </w:rPr>
          <w:t>cityarchives@cityofadelaide.com.au</w:t>
        </w:r>
      </w:hyperlink>
    </w:p>
    <w:p w14:paraId="2195A3F0" w14:textId="7309DD88" w:rsidR="00932D05" w:rsidRPr="003E3137" w:rsidRDefault="00076EE9" w:rsidP="00076EE9">
      <w:pPr>
        <w:ind w:left="-782" w:right="-782"/>
        <w:rPr>
          <w:rFonts w:ascii="Arial" w:hAnsi="Arial" w:cs="Arial"/>
          <w:sz w:val="16"/>
          <w:szCs w:val="16"/>
        </w:rPr>
      </w:pPr>
      <w:r w:rsidRPr="00076EE9">
        <w:rPr>
          <w:rFonts w:ascii="Arial" w:hAnsi="Arial" w:cs="Arial"/>
          <w:b/>
        </w:rPr>
        <w:t xml:space="preserve">Web: </w:t>
      </w:r>
      <w:hyperlink r:id="rId12" w:history="1">
        <w:r w:rsidRPr="00076EE9">
          <w:rPr>
            <w:rStyle w:val="Hyperlink"/>
            <w:rFonts w:ascii="Arial" w:hAnsi="Arial" w:cs="Arial"/>
          </w:rPr>
          <w:t>https://cityofadelaide.com.au/cityarchives</w:t>
        </w:r>
      </w:hyperlink>
      <w:r>
        <w:rPr>
          <w:rFonts w:ascii="Arial" w:hAnsi="Arial" w:cs="Arial"/>
          <w:b/>
        </w:rPr>
        <w:t xml:space="preserve"> </w:t>
      </w:r>
      <w:bookmarkStart w:id="0" w:name="_GoBack"/>
      <w:bookmarkEnd w:id="0"/>
    </w:p>
    <w:sectPr w:rsidR="00932D05" w:rsidRPr="003E3137" w:rsidSect="003E3137">
      <w:head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DBF87" w14:textId="77777777" w:rsidR="00481726" w:rsidRDefault="00481726" w:rsidP="00481726">
      <w:r>
        <w:separator/>
      </w:r>
    </w:p>
  </w:endnote>
  <w:endnote w:type="continuationSeparator" w:id="0">
    <w:p w14:paraId="397DBF88" w14:textId="77777777" w:rsidR="00481726" w:rsidRDefault="00481726" w:rsidP="0048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DBF85" w14:textId="77777777" w:rsidR="00481726" w:rsidRDefault="00481726" w:rsidP="00481726">
      <w:r>
        <w:separator/>
      </w:r>
    </w:p>
  </w:footnote>
  <w:footnote w:type="continuationSeparator" w:id="0">
    <w:p w14:paraId="397DBF86" w14:textId="77777777" w:rsidR="00481726" w:rsidRDefault="00481726" w:rsidP="0048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BF89" w14:textId="77777777" w:rsidR="00481726" w:rsidRPr="0056727C" w:rsidRDefault="00481726">
    <w:pPr>
      <w:pStyle w:val="Header"/>
      <w:rPr>
        <w:rFonts w:ascii="Arial" w:hAnsi="Arial" w:cs="Arial"/>
        <w:color w:val="333F48"/>
        <w:sz w:val="20"/>
        <w:szCs w:val="20"/>
      </w:rPr>
    </w:pPr>
    <w:r w:rsidRPr="0056727C">
      <w:rPr>
        <w:rFonts w:ascii="Arial" w:hAnsi="Arial" w:cs="Arial"/>
        <w:noProof/>
        <w:color w:val="333F48"/>
        <w:sz w:val="20"/>
        <w:szCs w:val="20"/>
      </w:rPr>
      <w:drawing>
        <wp:anchor distT="0" distB="0" distL="114300" distR="114300" simplePos="0" relativeHeight="251658240" behindDoc="1" locked="0" layoutInCell="1" allowOverlap="1" wp14:anchorId="397DBF8A" wp14:editId="397DBF8B">
          <wp:simplePos x="0" y="0"/>
          <wp:positionH relativeFrom="page">
            <wp:align>right</wp:align>
          </wp:positionH>
          <wp:positionV relativeFrom="page">
            <wp:align>bottom</wp:align>
          </wp:positionV>
          <wp:extent cx="7563600" cy="1069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Refresh_CoA Word Template_A4.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17C4A"/>
    <w:multiLevelType w:val="hybridMultilevel"/>
    <w:tmpl w:val="FE8A9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E45D42"/>
    <w:multiLevelType w:val="hybridMultilevel"/>
    <w:tmpl w:val="5A40B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F42BE7"/>
    <w:multiLevelType w:val="singleLevel"/>
    <w:tmpl w:val="F46096EC"/>
    <w:lvl w:ilvl="0">
      <w:start w:val="1"/>
      <w:numFmt w:val="decimal"/>
      <w:lvlText w:val="%1) "/>
      <w:legacy w:legacy="1" w:legacySpace="0" w:legacyIndent="283"/>
      <w:lvlJc w:val="left"/>
      <w:pPr>
        <w:ind w:left="1003" w:hanging="283"/>
      </w:pPr>
      <w:rPr>
        <w:b w:val="0"/>
        <w:i w:val="0"/>
        <w:sz w:val="24"/>
      </w:rPr>
    </w:lvl>
  </w:abstractNum>
  <w:abstractNum w:abstractNumId="4" w15:restartNumberingAfterBreak="0">
    <w:nsid w:val="292701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E242C5"/>
    <w:multiLevelType w:val="hybridMultilevel"/>
    <w:tmpl w:val="788AD3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3E52020"/>
    <w:multiLevelType w:val="singleLevel"/>
    <w:tmpl w:val="68E0B546"/>
    <w:lvl w:ilvl="0">
      <w:start w:val="2"/>
      <w:numFmt w:val="decimal"/>
      <w:lvlText w:val="%1) "/>
      <w:legacy w:legacy="1" w:legacySpace="0" w:legacyIndent="283"/>
      <w:lvlJc w:val="left"/>
      <w:pPr>
        <w:ind w:left="1003" w:hanging="283"/>
      </w:pPr>
      <w:rPr>
        <w:b w:val="0"/>
        <w:i w:val="0"/>
        <w:sz w:val="24"/>
      </w:rPr>
    </w:lvl>
  </w:abstractNum>
  <w:abstractNum w:abstractNumId="7" w15:restartNumberingAfterBreak="0">
    <w:nsid w:val="3DEE1380"/>
    <w:multiLevelType w:val="hybridMultilevel"/>
    <w:tmpl w:val="9406418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41AA517C"/>
    <w:multiLevelType w:val="hybridMultilevel"/>
    <w:tmpl w:val="7B7CC4E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2EF7F07"/>
    <w:multiLevelType w:val="singleLevel"/>
    <w:tmpl w:val="F4DE7CC0"/>
    <w:lvl w:ilvl="0">
      <w:start w:val="3"/>
      <w:numFmt w:val="decimal"/>
      <w:lvlText w:val="%1) "/>
      <w:legacy w:legacy="1" w:legacySpace="0" w:legacyIndent="283"/>
      <w:lvlJc w:val="left"/>
      <w:pPr>
        <w:ind w:left="1003" w:hanging="283"/>
      </w:pPr>
      <w:rPr>
        <w:b w:val="0"/>
        <w:i w:val="0"/>
        <w:sz w:val="24"/>
      </w:rPr>
    </w:lvl>
  </w:abstractNum>
  <w:abstractNum w:abstractNumId="10" w15:restartNumberingAfterBreak="0">
    <w:nsid w:val="74B929FA"/>
    <w:multiLevelType w:val="hybridMultilevel"/>
    <w:tmpl w:val="2668C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7A6DDA"/>
    <w:multiLevelType w:val="hybridMultilevel"/>
    <w:tmpl w:val="1E447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lvlOverride w:ilvl="0">
      <w:lvl w:ilvl="0">
        <w:start w:val="1"/>
        <w:numFmt w:val="bullet"/>
        <w:lvlText w:val=""/>
        <w:legacy w:legacy="1" w:legacySpace="0" w:legacyIndent="283"/>
        <w:lvlJc w:val="left"/>
        <w:pPr>
          <w:ind w:left="1123" w:hanging="283"/>
        </w:pPr>
        <w:rPr>
          <w:rFonts w:ascii="Symbol" w:hAnsi="Symbol" w:hint="default"/>
        </w:rPr>
      </w:lvl>
    </w:lvlOverride>
  </w:num>
  <w:num w:numId="4">
    <w:abstractNumId w:val="10"/>
  </w:num>
  <w:num w:numId="5">
    <w:abstractNumId w:val="7"/>
  </w:num>
  <w:num w:numId="6">
    <w:abstractNumId w:val="1"/>
  </w:num>
  <w:num w:numId="7">
    <w:abstractNumId w:val="11"/>
  </w:num>
  <w:num w:numId="8">
    <w:abstractNumId w:val="3"/>
  </w:num>
  <w:num w:numId="9">
    <w:abstractNumId w:val="6"/>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726"/>
    <w:rsid w:val="00066429"/>
    <w:rsid w:val="00076EE9"/>
    <w:rsid w:val="001041B5"/>
    <w:rsid w:val="001153E0"/>
    <w:rsid w:val="001D6C7D"/>
    <w:rsid w:val="00290224"/>
    <w:rsid w:val="002C21CE"/>
    <w:rsid w:val="003A591F"/>
    <w:rsid w:val="003E3137"/>
    <w:rsid w:val="00481726"/>
    <w:rsid w:val="004B0B5B"/>
    <w:rsid w:val="0056727C"/>
    <w:rsid w:val="00592207"/>
    <w:rsid w:val="005F60C1"/>
    <w:rsid w:val="00665A5C"/>
    <w:rsid w:val="006D4A3A"/>
    <w:rsid w:val="00875EFC"/>
    <w:rsid w:val="008A1160"/>
    <w:rsid w:val="00932D05"/>
    <w:rsid w:val="009716E0"/>
    <w:rsid w:val="009F433D"/>
    <w:rsid w:val="00A724EA"/>
    <w:rsid w:val="00A920FF"/>
    <w:rsid w:val="00C21695"/>
    <w:rsid w:val="00C53E98"/>
    <w:rsid w:val="00CF334F"/>
    <w:rsid w:val="00D02592"/>
    <w:rsid w:val="00D071AA"/>
    <w:rsid w:val="00D1070B"/>
    <w:rsid w:val="00D16356"/>
    <w:rsid w:val="00D37239"/>
    <w:rsid w:val="00E228E7"/>
    <w:rsid w:val="00F11CA4"/>
    <w:rsid w:val="00F20596"/>
    <w:rsid w:val="00F464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DBF84"/>
  <w15:chartTrackingRefBased/>
  <w15:docId w15:val="{C03BEAEF-749A-488A-883D-015F9ADE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726"/>
    <w:pPr>
      <w:spacing w:after="0" w:line="240" w:lineRule="auto"/>
    </w:pPr>
    <w:rPr>
      <w:rFonts w:ascii="Garamond" w:eastAsia="Times New Roman" w:hAnsi="Garamond" w:cs="Times New Roman"/>
      <w:sz w:val="24"/>
      <w:szCs w:val="24"/>
      <w:lang w:eastAsia="en-AU"/>
    </w:rPr>
  </w:style>
  <w:style w:type="paragraph" w:styleId="Heading1">
    <w:name w:val="heading 1"/>
    <w:basedOn w:val="Normal"/>
    <w:next w:val="Normal"/>
    <w:link w:val="Heading1Char"/>
    <w:qFormat/>
    <w:rsid w:val="00D16356"/>
    <w:pPr>
      <w:keepNext/>
      <w:outlineLvl w:val="0"/>
    </w:pPr>
    <w:rPr>
      <w:rFonts w:ascii="Times New Roman" w:hAnsi="Times New Roman"/>
      <w:b/>
      <w:sz w:val="32"/>
      <w:szCs w:val="20"/>
      <w:lang w:val="en-US"/>
    </w:rPr>
  </w:style>
  <w:style w:type="paragraph" w:styleId="Heading3">
    <w:name w:val="heading 3"/>
    <w:basedOn w:val="Normal"/>
    <w:next w:val="Normal"/>
    <w:link w:val="Heading3Char"/>
    <w:qFormat/>
    <w:rsid w:val="00D16356"/>
    <w:pPr>
      <w:keepNext/>
      <w:jc w:val="center"/>
      <w:outlineLvl w:val="2"/>
    </w:pPr>
    <w:rPr>
      <w:rFonts w:ascii="Times New Roman" w:hAnsi="Times New Roman"/>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1726"/>
    <w:pPr>
      <w:tabs>
        <w:tab w:val="center" w:pos="4513"/>
        <w:tab w:val="right" w:pos="9026"/>
      </w:tabs>
    </w:pPr>
  </w:style>
  <w:style w:type="character" w:customStyle="1" w:styleId="HeaderChar">
    <w:name w:val="Header Char"/>
    <w:basedOn w:val="DefaultParagraphFont"/>
    <w:link w:val="Header"/>
    <w:rsid w:val="00481726"/>
  </w:style>
  <w:style w:type="paragraph" w:styleId="Footer">
    <w:name w:val="footer"/>
    <w:basedOn w:val="Normal"/>
    <w:link w:val="FooterChar"/>
    <w:uiPriority w:val="99"/>
    <w:unhideWhenUsed/>
    <w:rsid w:val="00481726"/>
    <w:pPr>
      <w:tabs>
        <w:tab w:val="center" w:pos="4513"/>
        <w:tab w:val="right" w:pos="9026"/>
      </w:tabs>
    </w:pPr>
  </w:style>
  <w:style w:type="character" w:customStyle="1" w:styleId="FooterChar">
    <w:name w:val="Footer Char"/>
    <w:basedOn w:val="DefaultParagraphFont"/>
    <w:link w:val="Footer"/>
    <w:uiPriority w:val="99"/>
    <w:rsid w:val="00481726"/>
  </w:style>
  <w:style w:type="table" w:styleId="TableGrid">
    <w:name w:val="Table Grid"/>
    <w:basedOn w:val="TableNormal"/>
    <w:rsid w:val="0048172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726"/>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8A1160"/>
    <w:rPr>
      <w:color w:val="0563C1" w:themeColor="hyperlink"/>
      <w:u w:val="single"/>
    </w:rPr>
  </w:style>
  <w:style w:type="character" w:styleId="UnresolvedMention">
    <w:name w:val="Unresolved Mention"/>
    <w:basedOn w:val="DefaultParagraphFont"/>
    <w:uiPriority w:val="99"/>
    <w:semiHidden/>
    <w:unhideWhenUsed/>
    <w:rsid w:val="00D071AA"/>
    <w:rPr>
      <w:color w:val="605E5C"/>
      <w:shd w:val="clear" w:color="auto" w:fill="E1DFDD"/>
    </w:rPr>
  </w:style>
  <w:style w:type="paragraph" w:styleId="Caption">
    <w:name w:val="caption"/>
    <w:basedOn w:val="Normal"/>
    <w:next w:val="Normal"/>
    <w:qFormat/>
    <w:rsid w:val="005F60C1"/>
    <w:pPr>
      <w:ind w:right="-858"/>
      <w:jc w:val="both"/>
    </w:pPr>
    <w:rPr>
      <w:rFonts w:ascii="Times New Roman" w:hAnsi="Times New Roman"/>
      <w:b/>
      <w:sz w:val="40"/>
      <w:szCs w:val="20"/>
      <w:lang w:val="en-US"/>
    </w:rPr>
  </w:style>
  <w:style w:type="character" w:customStyle="1" w:styleId="Heading1Char">
    <w:name w:val="Heading 1 Char"/>
    <w:basedOn w:val="DefaultParagraphFont"/>
    <w:link w:val="Heading1"/>
    <w:rsid w:val="00D16356"/>
    <w:rPr>
      <w:rFonts w:ascii="Times New Roman" w:eastAsia="Times New Roman" w:hAnsi="Times New Roman" w:cs="Times New Roman"/>
      <w:b/>
      <w:sz w:val="32"/>
      <w:szCs w:val="20"/>
      <w:lang w:val="en-US" w:eastAsia="en-AU"/>
    </w:rPr>
  </w:style>
  <w:style w:type="character" w:customStyle="1" w:styleId="Heading3Char">
    <w:name w:val="Heading 3 Char"/>
    <w:basedOn w:val="DefaultParagraphFont"/>
    <w:link w:val="Heading3"/>
    <w:rsid w:val="00D16356"/>
    <w:rPr>
      <w:rFonts w:ascii="Times New Roman" w:eastAsia="Times New Roman" w:hAnsi="Times New Roman" w:cs="Times New Roman"/>
      <w:b/>
      <w:sz w:val="32"/>
      <w:szCs w:val="20"/>
      <w:lang w:val="en-US" w:eastAsia="en-AU"/>
    </w:rPr>
  </w:style>
  <w:style w:type="paragraph" w:styleId="BodyText">
    <w:name w:val="Body Text"/>
    <w:basedOn w:val="Normal"/>
    <w:link w:val="BodyTextChar"/>
    <w:semiHidden/>
    <w:rsid w:val="00C53E98"/>
    <w:pPr>
      <w:jc w:val="both"/>
    </w:pPr>
    <w:rPr>
      <w:rFonts w:ascii="Times New Roman" w:hAnsi="Times New Roman"/>
      <w:szCs w:val="20"/>
      <w:lang w:val="en-US"/>
    </w:rPr>
  </w:style>
  <w:style w:type="character" w:customStyle="1" w:styleId="BodyTextChar">
    <w:name w:val="Body Text Char"/>
    <w:basedOn w:val="DefaultParagraphFont"/>
    <w:link w:val="BodyText"/>
    <w:semiHidden/>
    <w:rsid w:val="00C53E98"/>
    <w:rPr>
      <w:rFonts w:ascii="Times New Roman" w:eastAsia="Times New Roman" w:hAnsi="Times New Roman" w:cs="Times New Roman"/>
      <w:sz w:val="24"/>
      <w:szCs w:val="20"/>
      <w:lang w:val="en-US" w:eastAsia="en-AU"/>
    </w:rPr>
  </w:style>
  <w:style w:type="paragraph" w:styleId="BodyText2">
    <w:name w:val="Body Text 2"/>
    <w:basedOn w:val="Normal"/>
    <w:link w:val="BodyText2Char"/>
    <w:semiHidden/>
    <w:rsid w:val="00C53E98"/>
    <w:pPr>
      <w:ind w:left="1440"/>
      <w:jc w:val="both"/>
    </w:pPr>
    <w:rPr>
      <w:rFonts w:ascii="Times New Roman" w:hAnsi="Times New Roman"/>
      <w:szCs w:val="20"/>
      <w:lang w:val="en-US"/>
    </w:rPr>
  </w:style>
  <w:style w:type="character" w:customStyle="1" w:styleId="BodyText2Char">
    <w:name w:val="Body Text 2 Char"/>
    <w:basedOn w:val="DefaultParagraphFont"/>
    <w:link w:val="BodyText2"/>
    <w:semiHidden/>
    <w:rsid w:val="00C53E98"/>
    <w:rPr>
      <w:rFonts w:ascii="Times New Roman" w:eastAsia="Times New Roman" w:hAnsi="Times New Roman" w:cs="Times New Roman"/>
      <w:sz w:val="24"/>
      <w:szCs w:val="20"/>
      <w:lang w:val="en-US" w:eastAsia="en-AU"/>
    </w:rPr>
  </w:style>
  <w:style w:type="paragraph" w:styleId="Title">
    <w:name w:val="Title"/>
    <w:basedOn w:val="Normal"/>
    <w:link w:val="TitleChar"/>
    <w:qFormat/>
    <w:rsid w:val="001153E0"/>
    <w:pPr>
      <w:jc w:val="center"/>
    </w:pPr>
    <w:rPr>
      <w:rFonts w:ascii="Times New Roman" w:hAnsi="Times New Roman"/>
      <w:b/>
      <w:sz w:val="32"/>
      <w:szCs w:val="20"/>
      <w:lang w:val="en-US"/>
    </w:rPr>
  </w:style>
  <w:style w:type="character" w:customStyle="1" w:styleId="TitleChar">
    <w:name w:val="Title Char"/>
    <w:basedOn w:val="DefaultParagraphFont"/>
    <w:link w:val="Title"/>
    <w:rsid w:val="001153E0"/>
    <w:rPr>
      <w:rFonts w:ascii="Times New Roman" w:eastAsia="Times New Roman" w:hAnsi="Times New Roman" w:cs="Times New Roman"/>
      <w:b/>
      <w:sz w:val="32"/>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ityofadelaide.com.au/cityarchiv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tyarchives@cityofadelaide.com.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C99AB4163C074683241C0831DF556B" ma:contentTypeVersion="0" ma:contentTypeDescription="Create a new document." ma:contentTypeScope="" ma:versionID="8ee93644b0374f7ecce5268ea94fec1e">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30C17-9D37-4EAE-B490-99D9BA0A0B8D}">
  <ds:schemaRefs>
    <ds:schemaRef ds:uri="http://schemas.microsoft.com/sharepoint/v3/contenttype/forms"/>
  </ds:schemaRefs>
</ds:datastoreItem>
</file>

<file path=customXml/itemProps2.xml><?xml version="1.0" encoding="utf-8"?>
<ds:datastoreItem xmlns:ds="http://schemas.openxmlformats.org/officeDocument/2006/customXml" ds:itemID="{12C6E6F2-7F38-4F27-8DC8-B3EDAAC21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4B0923-2465-4173-A939-A2E9270C6CC7}">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9260AC7-7CB9-4F62-8FED-4764C9D16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4798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Castillon</dc:creator>
  <cp:keywords/>
  <dc:description/>
  <cp:lastModifiedBy>Michelle Tsui Tyng Chee</cp:lastModifiedBy>
  <cp:revision>2</cp:revision>
  <dcterms:created xsi:type="dcterms:W3CDTF">2019-05-28T00:21:00Z</dcterms:created>
  <dcterms:modified xsi:type="dcterms:W3CDTF">2019-05-28T00:21:00Z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0x01010015C99AB4163C074683241C0831DF556B</vt:lpwstr>
  </property>
</Properties>
</file>